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January 31, 2019</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11"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276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Delaware</w:t>
            </w:r>
          </w:p>
        </w:tc>
        <w:tc>
          <w:tcPr>
            <w:tcW w:w="7380" w:type="dxa"/>
            <w:vAlign w:val="bottom"/>
            <w:gridSpan w:val="3"/>
          </w:tcPr>
          <w:p>
            <w:pPr>
              <w:jc w:val="center"/>
              <w:ind w:left="5890"/>
              <w:spacing w:after="0"/>
              <w:rPr>
                <w:sz w:val="20"/>
                <w:szCs w:val="20"/>
                <w:color w:val="auto"/>
              </w:rPr>
            </w:pPr>
            <w:r>
              <w:rPr>
                <w:rFonts w:ascii="Arial" w:cs="Arial" w:eastAsia="Arial" w:hAnsi="Arial"/>
                <w:sz w:val="18"/>
                <w:szCs w:val="18"/>
                <w:b w:val="1"/>
                <w:bCs w:val="1"/>
                <w:color w:val="auto"/>
                <w:w w:val="99"/>
              </w:rPr>
              <w:t>94-1369354</w:t>
            </w:r>
          </w:p>
        </w:tc>
      </w:tr>
      <w:tr>
        <w:trPr>
          <w:trHeight w:val="391"/>
        </w:trPr>
        <w:tc>
          <w:tcPr>
            <w:tcW w:w="2760" w:type="dxa"/>
            <w:vAlign w:val="bottom"/>
          </w:tcPr>
          <w:p>
            <w:pPr>
              <w:jc w:val="center"/>
              <w:ind w:right="330"/>
              <w:spacing w:after="0"/>
              <w:rPr>
                <w:sz w:val="20"/>
                <w:szCs w:val="20"/>
                <w:color w:val="auto"/>
              </w:rPr>
            </w:pPr>
            <w:r>
              <w:rPr>
                <w:rFonts w:ascii="Arial" w:cs="Arial" w:eastAsia="Arial" w:hAnsi="Arial"/>
                <w:sz w:val="18"/>
                <w:szCs w:val="18"/>
                <w:color w:val="auto"/>
              </w:rPr>
              <w:t>(State or other jurisdiction of</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(I.R.S. Employer</w:t>
            </w:r>
          </w:p>
        </w:tc>
      </w:tr>
      <w:tr>
        <w:trPr>
          <w:trHeight w:val="217"/>
        </w:trPr>
        <w:tc>
          <w:tcPr>
            <w:tcW w:w="2760" w:type="dxa"/>
            <w:vAlign w:val="bottom"/>
          </w:tcPr>
          <w:p>
            <w:pPr>
              <w:jc w:val="center"/>
              <w:ind w:right="330"/>
              <w:spacing w:after="0"/>
              <w:rPr>
                <w:sz w:val="20"/>
                <w:szCs w:val="20"/>
                <w:color w:val="auto"/>
              </w:rPr>
            </w:pPr>
            <w:r>
              <w:rPr>
                <w:rFonts w:ascii="Arial" w:cs="Arial" w:eastAsia="Arial" w:hAnsi="Arial"/>
                <w:sz w:val="18"/>
                <w:szCs w:val="18"/>
                <w:color w:val="auto"/>
                <w:w w:val="99"/>
              </w:rPr>
              <w:t>incorporation or organization)</w:t>
            </w: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Identification No.)</w:t>
            </w:r>
          </w:p>
        </w:tc>
      </w:tr>
      <w:tr>
        <w:trPr>
          <w:trHeight w:val="527"/>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__________________________</w:t>
            </w:r>
          </w:p>
        </w:tc>
      </w:tr>
      <w:tr>
        <w:trPr>
          <w:trHeight w:val="301"/>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39"/>
        </w:trPr>
        <w:tc>
          <w:tcPr>
            <w:tcW w:w="2760" w:type="dxa"/>
            <w:vAlign w:val="bottom"/>
          </w:tcPr>
          <w:p>
            <w:pPr>
              <w:spacing w:after="0"/>
              <w:rPr>
                <w:sz w:val="20"/>
                <w:szCs w:val="20"/>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24"/>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(Address of principal executive offices)</w:t>
            </w:r>
          </w:p>
        </w:tc>
      </w:tr>
      <w:tr>
        <w:trPr>
          <w:trHeight w:val="716"/>
        </w:trPr>
        <w:tc>
          <w:tcPr>
            <w:tcW w:w="2760" w:type="dxa"/>
            <w:vAlign w:val="bottom"/>
          </w:tcPr>
          <w:p>
            <w:pPr>
              <w:spacing w:after="0"/>
              <w:rPr>
                <w:sz w:val="24"/>
                <w:szCs w:val="24"/>
                <w:color w:val="auto"/>
              </w:rPr>
            </w:pPr>
          </w:p>
        </w:tc>
        <w:tc>
          <w:tcPr>
            <w:tcW w:w="312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9"/>
              </w:rPr>
              <w:t>(212) 297-0200</w:t>
            </w:r>
          </w:p>
        </w:tc>
        <w:tc>
          <w:tcPr>
            <w:tcW w:w="4260" w:type="dxa"/>
            <w:vAlign w:val="bottom"/>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399"/>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-2125980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792" w:right="279" w:bottom="1440" w:gutter="0" w:footer="0" w:header="0"/>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0"/>
          <w:szCs w:val="20"/>
          <w:color w:val="auto"/>
        </w:rPr>
      </w:pPr>
    </w:p>
    <w:p>
      <w:pPr>
        <w:ind w:left="60"/>
        <w:spacing w:after="0" w:line="207" w:lineRule="exact"/>
        <w:tabs>
          <w:tab w:leader="none" w:pos="2300" w:val="left"/>
          <w:tab w:leader="none" w:pos="3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241"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0"/>
          <w:szCs w:val="20"/>
          <w:color w:val="auto"/>
        </w:rPr>
      </w:pPr>
    </w:p>
    <w:p>
      <w:pPr>
        <w:ind w:right="120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the registrant’s common stock outstanding as of March 4, 2019: 66,238,956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1">
              <w:r>
                <w:rPr>
                  <w:rFonts w:ascii="Arial" w:cs="Arial" w:eastAsia="Arial" w:hAnsi="Arial"/>
                  <w:sz w:val="15"/>
                  <w:szCs w:val="15"/>
                  <w:color w:val="0000EE"/>
                  <w:w w:val="95"/>
                </w:rPr>
                <w:t>28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42</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42</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42</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42</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6">
              <w:r>
                <w:rPr>
                  <w:rFonts w:ascii="Arial" w:cs="Arial" w:eastAsia="Arial" w:hAnsi="Arial"/>
                  <w:sz w:val="15"/>
                  <w:szCs w:val="15"/>
                  <w:color w:val="0000EE"/>
                  <w:w w:val="95"/>
                </w:rPr>
                <w:t>43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7">
              <w:r>
                <w:rPr>
                  <w:rFonts w:ascii="Arial" w:cs="Arial" w:eastAsia="Arial" w:hAnsi="Arial"/>
                  <w:sz w:val="15"/>
                  <w:szCs w:val="15"/>
                  <w:color w:val="0000EE"/>
                  <w:w w:val="95"/>
                </w:rPr>
                <w:t>44</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This Form 10-Q contains both historical and forward-looking statements regarding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45" w:lineRule="exact"/>
        <w:rPr>
          <w:sz w:val="20"/>
          <w:szCs w:val="20"/>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realize the full extent of growth opportunities or potential synergies anticipated from the acquisition of GCA Services Group (“GCA”).</w:t>
      </w:r>
    </w:p>
    <w:p>
      <w:pPr>
        <w:spacing w:after="0" w:line="34"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incurred a substantial amount of debt to complete the acquisition of GCA. To service our debt we will require a significant amount of cash. Our ability to generate cash depends on many factors beyond our control. We also depend on the profitability of our subsidiaries to satisfy our cash needs. If we cannot generate the required cash, we may not be able to make the necessary payments required to service our indebtedness or we may be required to suspend certain discretionary payments, including our dividend.</w:t>
      </w:r>
    </w:p>
    <w:p>
      <w:pPr>
        <w:spacing w:after="0" w:line="20"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strategic transformation initiative, together with process and technology initiatives following the acquisition of GCA, may not</w:t>
      </w:r>
      <w:r>
        <w:rPr>
          <w:rFonts w:ascii="Arial" w:cs="Arial" w:eastAsia="Arial" w:hAnsi="Arial"/>
          <w:sz w:val="18"/>
          <w:szCs w:val="18"/>
          <w:b w:val="1"/>
          <w:bCs w:val="1"/>
          <w:color w:val="0070C0"/>
        </w:rPr>
        <w:t xml:space="preserve"> </w:t>
      </w:r>
      <w:r>
        <w:rPr>
          <w:rFonts w:ascii="Arial" w:cs="Arial" w:eastAsia="Arial" w:hAnsi="Arial"/>
          <w:sz w:val="18"/>
          <w:szCs w:val="18"/>
          <w:color w:val="000000"/>
        </w:rPr>
        <w:t>have the desired effects on our financial condition and results of operations.</w:t>
      </w:r>
    </w:p>
    <w:p>
      <w:pPr>
        <w:spacing w:after="0" w:line="2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pressures and on our ability to preserve long-term client relationships.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our ability to attract and retain qualified personnel and senior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have an effect on our results of operations and financial condition.</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insure our insurable risks through a combination of insurance and self-insurance, and we retain a substantial portion of the risk associated with expected losses under these programs, which exposes us to volatility associated with those risks, including the possibility that changes in estimates of ultimate insurance losses could result in material charges against our earnings.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pacing w:after="0" w:line="6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including changes in energy prices, government regulations, and changing consumer preferences, could reduce the demand for facility services and, as a result, reduce our earnings and adversely affect our financial condition.</w:t>
      </w:r>
    </w:p>
    <w:p>
      <w:pPr>
        <w:spacing w:after="0" w:line="3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materially affected by changes to fiscal and tax policies. Negative or unexpected tax consequences could adversely affect our results of operations.</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breaches of, or disruptions to, our information technology systems or those of our third-party providers or clients, or other compromises of our data that could adversely affect our business.</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number of our employees are covered by collective bargaining agreements that could expose us to potential liabilities in relationship to our participation in multiemployer pension plans, requirements to make contributions to other benefit plans, and the potential for strikes, work slowdowns or similar activities, and union-organizing drives.</w:t>
      </w:r>
    </w:p>
    <w:p>
      <w:pPr>
        <w:spacing w:after="0" w:line="39"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disasters, and terrorist attacks could disrupt our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2018 and in other reports we file from time to time with the Securities and Exchange Commission (including all amendments to those reports).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3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CONSOLIDATED FINANCIAL STATEMENTS.</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220" w:type="dxa"/>
            <w:vAlign w:val="bottom"/>
          </w:tcPr>
          <w:p>
            <w:pPr>
              <w:spacing w:after="0"/>
              <w:rPr>
                <w:sz w:val="14"/>
                <w:szCs w:val="14"/>
                <w:color w:val="auto"/>
              </w:rPr>
            </w:pPr>
          </w:p>
        </w:tc>
        <w:tc>
          <w:tcPr>
            <w:tcW w:w="18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January 31, 2019</w:t>
            </w:r>
          </w:p>
        </w:tc>
        <w:tc>
          <w:tcPr>
            <w:tcW w:w="240" w:type="dxa"/>
            <w:vAlign w:val="bottom"/>
          </w:tcPr>
          <w:p>
            <w:pPr>
              <w:spacing w:after="0"/>
              <w:rPr>
                <w:sz w:val="14"/>
                <w:szCs w:val="14"/>
                <w:color w:val="auto"/>
              </w:rPr>
            </w:pPr>
          </w:p>
        </w:tc>
        <w:tc>
          <w:tcPr>
            <w:tcW w:w="17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October 31, 2018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860" w:type="dxa"/>
            <w:vAlign w:val="bottom"/>
            <w:tcBorders>
              <w:top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742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shd w:val="clear" w:color="auto" w:fill="DCE2EF"/>
          </w:tcPr>
          <w:p>
            <w:pPr>
              <w:spacing w:after="0"/>
              <w:rPr>
                <w:sz w:val="23"/>
                <w:szCs w:val="23"/>
                <w:color w:val="auto"/>
              </w:rPr>
            </w:pPr>
          </w:p>
        </w:tc>
        <w:tc>
          <w:tcPr>
            <w:tcW w:w="172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240" w:type="dxa"/>
            <w:vAlign w:val="bottom"/>
            <w:tcBorders>
              <w:top w:val="single" w:sz="8" w:color="auto"/>
            </w:tcBorders>
            <w:shd w:val="clear" w:color="auto" w:fill="DCE2EF"/>
          </w:tcPr>
          <w:p>
            <w:pPr>
              <w:spacing w:after="0"/>
              <w:rPr>
                <w:sz w:val="23"/>
                <w:szCs w:val="23"/>
                <w:color w:val="auto"/>
              </w:rPr>
            </w:pPr>
          </w:p>
        </w:tc>
        <w:tc>
          <w:tcPr>
            <w:tcW w:w="1700" w:type="dxa"/>
            <w:vAlign w:val="bottom"/>
            <w:tcBorders>
              <w:top w:val="single" w:sz="8" w:color="auto"/>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30.6</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Trade accounts receivable, net of allowances of $23.4</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520"/>
              <w:spacing w:after="0"/>
              <w:rPr>
                <w:sz w:val="20"/>
                <w:szCs w:val="20"/>
                <w:color w:val="auto"/>
              </w:rPr>
            </w:pPr>
            <w:r>
              <w:rPr>
                <w:rFonts w:ascii="Arial" w:cs="Arial" w:eastAsia="Arial" w:hAnsi="Arial"/>
                <w:sz w:val="15"/>
                <w:szCs w:val="15"/>
                <w:color w:val="auto"/>
              </w:rPr>
              <w:t>and $19.2 at January 31, 2019 and October 31, 2018, respectively</w:t>
            </w:r>
          </w:p>
        </w:tc>
        <w:tc>
          <w:tcPr>
            <w:tcW w:w="220" w:type="dxa"/>
            <w:vAlign w:val="bottom"/>
          </w:tcPr>
          <w:p>
            <w:pPr>
              <w:spacing w:after="0"/>
              <w:rPr>
                <w:sz w:val="16"/>
                <w:szCs w:val="16"/>
                <w:color w:val="auto"/>
              </w:rPr>
            </w:pPr>
          </w:p>
        </w:tc>
        <w:tc>
          <w:tcPr>
            <w:tcW w:w="1720" w:type="dxa"/>
            <w:vAlign w:val="bottom"/>
          </w:tcPr>
          <w:p>
            <w:pPr>
              <w:jc w:val="right"/>
              <w:ind w:right="43"/>
              <w:spacing w:after="0"/>
              <w:rPr>
                <w:sz w:val="20"/>
                <w:szCs w:val="20"/>
                <w:color w:val="auto"/>
              </w:rPr>
            </w:pPr>
            <w:r>
              <w:rPr>
                <w:rFonts w:ascii="Arial" w:cs="Arial" w:eastAsia="Arial" w:hAnsi="Arial"/>
                <w:sz w:val="15"/>
                <w:szCs w:val="15"/>
                <w:color w:val="auto"/>
              </w:rPr>
              <w:t>1,039.2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1,014.1</w:t>
            </w: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Costs incurred in excess of amounts billed</w:t>
            </w:r>
          </w:p>
        </w:tc>
        <w:tc>
          <w:tcPr>
            <w:tcW w:w="220" w:type="dxa"/>
            <w:vAlign w:val="bottom"/>
            <w:shd w:val="clear" w:color="auto" w:fill="DCE2EF"/>
          </w:tcPr>
          <w:p>
            <w:pPr>
              <w:spacing w:after="0"/>
              <w:rPr>
                <w:sz w:val="19"/>
                <w:szCs w:val="19"/>
                <w:color w:val="auto"/>
              </w:rPr>
            </w:pPr>
          </w:p>
        </w:tc>
        <w:tc>
          <w:tcPr>
            <w:tcW w:w="17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40.2</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Prepaid expenses</w:t>
            </w:r>
          </w:p>
        </w:tc>
        <w:tc>
          <w:tcPr>
            <w:tcW w:w="220" w:type="dxa"/>
            <w:vAlign w:val="bottom"/>
          </w:tcPr>
          <w:p>
            <w:pPr>
              <w:spacing w:after="0"/>
              <w:rPr>
                <w:sz w:val="23"/>
                <w:szCs w:val="23"/>
                <w:color w:val="auto"/>
              </w:rPr>
            </w:pPr>
          </w:p>
        </w:tc>
        <w:tc>
          <w:tcPr>
            <w:tcW w:w="1720" w:type="dxa"/>
            <w:vAlign w:val="bottom"/>
          </w:tcPr>
          <w:p>
            <w:pPr>
              <w:jc w:val="right"/>
              <w:ind w:right="43"/>
              <w:spacing w:after="0"/>
              <w:rPr>
                <w:sz w:val="20"/>
                <w:szCs w:val="20"/>
                <w:color w:val="auto"/>
              </w:rPr>
            </w:pPr>
            <w:r>
              <w:rPr>
                <w:rFonts w:ascii="Arial" w:cs="Arial" w:eastAsia="Arial" w:hAnsi="Arial"/>
                <w:sz w:val="15"/>
                <w:szCs w:val="15"/>
                <w:color w:val="auto"/>
              </w:rPr>
              <w:t>77.4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80.8</w:t>
            </w:r>
          </w:p>
        </w:tc>
        <w:tc>
          <w:tcPr>
            <w:tcW w:w="0" w:type="dxa"/>
            <w:vAlign w:val="bottom"/>
          </w:tcPr>
          <w:p>
            <w:pPr>
              <w:spacing w:after="0"/>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shd w:val="clear" w:color="auto" w:fill="DCE2EF"/>
          </w:tcPr>
          <w:p>
            <w:pPr>
              <w:spacing w:after="0"/>
              <w:rPr>
                <w:sz w:val="23"/>
                <w:szCs w:val="23"/>
                <w:color w:val="auto"/>
              </w:rPr>
            </w:pPr>
          </w:p>
        </w:tc>
        <w:tc>
          <w:tcPr>
            <w:tcW w:w="172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43.7</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680"/>
              <w:spacing w:after="0"/>
              <w:rPr>
                <w:sz w:val="20"/>
                <w:szCs w:val="20"/>
                <w:color w:val="auto"/>
              </w:rPr>
            </w:pPr>
            <w:r>
              <w:rPr>
                <w:rFonts w:ascii="Arial" w:cs="Arial" w:eastAsia="Arial" w:hAnsi="Arial"/>
                <w:sz w:val="15"/>
                <w:szCs w:val="15"/>
                <w:color w:val="auto"/>
              </w:rPr>
              <w:t>Total current assets</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1,231.1</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1,171.0</w:t>
            </w:r>
          </w:p>
        </w:tc>
        <w:tc>
          <w:tcPr>
            <w:tcW w:w="0" w:type="dxa"/>
            <w:vAlign w:val="bottom"/>
          </w:tcPr>
          <w:p>
            <w:pPr>
              <w:spacing w:after="0"/>
              <w:rPr>
                <w:sz w:val="1"/>
                <w:szCs w:val="1"/>
                <w:color w:val="auto"/>
              </w:rPr>
            </w:pPr>
          </w:p>
        </w:tc>
      </w:tr>
      <w:tr>
        <w:trPr>
          <w:trHeight w:val="25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investments</w:t>
            </w:r>
          </w:p>
        </w:tc>
        <w:tc>
          <w:tcPr>
            <w:tcW w:w="220" w:type="dxa"/>
            <w:vAlign w:val="bottom"/>
            <w:shd w:val="clear" w:color="auto" w:fill="DCE2EF"/>
          </w:tcPr>
          <w:p>
            <w:pPr>
              <w:spacing w:after="0"/>
              <w:rPr>
                <w:sz w:val="22"/>
                <w:szCs w:val="22"/>
                <w:color w:val="auto"/>
              </w:rPr>
            </w:pPr>
          </w:p>
        </w:tc>
        <w:tc>
          <w:tcPr>
            <w:tcW w:w="17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8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Property, plant and equipment, net of accumulated depreciation of $165.1</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160"/>
              <w:spacing w:after="0"/>
              <w:rPr>
                <w:sz w:val="20"/>
                <w:szCs w:val="20"/>
                <w:color w:val="auto"/>
              </w:rPr>
            </w:pPr>
            <w:r>
              <w:rPr>
                <w:rFonts w:ascii="Arial" w:cs="Arial" w:eastAsia="Arial" w:hAnsi="Arial"/>
                <w:sz w:val="15"/>
                <w:szCs w:val="15"/>
                <w:color w:val="auto"/>
              </w:rPr>
              <w:t>and $153.9 at January 31, 2019 and October 31, 2018, respectively</w:t>
            </w:r>
          </w:p>
        </w:tc>
        <w:tc>
          <w:tcPr>
            <w:tcW w:w="220" w:type="dxa"/>
            <w:vAlign w:val="bottom"/>
          </w:tcPr>
          <w:p>
            <w:pPr>
              <w:spacing w:after="0"/>
              <w:rPr>
                <w:sz w:val="16"/>
                <w:szCs w:val="16"/>
                <w:color w:val="auto"/>
              </w:rPr>
            </w:pPr>
          </w:p>
        </w:tc>
        <w:tc>
          <w:tcPr>
            <w:tcW w:w="1720" w:type="dxa"/>
            <w:vAlign w:val="bottom"/>
          </w:tcPr>
          <w:p>
            <w:pPr>
              <w:jc w:val="right"/>
              <w:ind w:right="43"/>
              <w:spacing w:after="0"/>
              <w:rPr>
                <w:sz w:val="20"/>
                <w:szCs w:val="20"/>
                <w:color w:val="auto"/>
              </w:rPr>
            </w:pPr>
            <w:r>
              <w:rPr>
                <w:rFonts w:ascii="Arial" w:cs="Arial" w:eastAsia="Arial" w:hAnsi="Arial"/>
                <w:sz w:val="15"/>
                <w:szCs w:val="15"/>
                <w:color w:val="auto"/>
              </w:rPr>
              <w:t>140.0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140.1</w:t>
            </w:r>
          </w:p>
        </w:tc>
        <w:tc>
          <w:tcPr>
            <w:tcW w:w="0" w:type="dxa"/>
            <w:vAlign w:val="bottom"/>
          </w:tcPr>
          <w:p>
            <w:pPr>
              <w:spacing w:after="0"/>
              <w:rPr>
                <w:sz w:val="1"/>
                <w:szCs w:val="1"/>
                <w:color w:val="auto"/>
              </w:rPr>
            </w:pPr>
          </w:p>
        </w:tc>
      </w:tr>
      <w:tr>
        <w:trPr>
          <w:trHeight w:val="19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intangible assets, net of accumulated amortization of $265.8</w:t>
            </w:r>
          </w:p>
        </w:tc>
        <w:tc>
          <w:tcPr>
            <w:tcW w:w="220" w:type="dxa"/>
            <w:vAlign w:val="bottom"/>
            <w:shd w:val="clear" w:color="auto" w:fill="DCE2EF"/>
          </w:tcPr>
          <w:p>
            <w:pPr>
              <w:spacing w:after="0"/>
              <w:rPr>
                <w:sz w:val="16"/>
                <w:szCs w:val="16"/>
                <w:color w:val="auto"/>
              </w:rPr>
            </w:pPr>
          </w:p>
        </w:tc>
        <w:tc>
          <w:tcPr>
            <w:tcW w:w="17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DCE2EF"/>
          </w:tcPr>
          <w:p>
            <w:pPr>
              <w:spacing w:after="0"/>
              <w:rPr>
                <w:sz w:val="16"/>
                <w:szCs w:val="16"/>
                <w:color w:val="auto"/>
              </w:rPr>
            </w:pPr>
          </w:p>
        </w:tc>
        <w:tc>
          <w:tcPr>
            <w:tcW w:w="7400" w:type="dxa"/>
            <w:vAlign w:val="bottom"/>
            <w:gridSpan w:val="2"/>
            <w:shd w:val="clear" w:color="auto" w:fill="DCE2EF"/>
          </w:tcPr>
          <w:p>
            <w:pPr>
              <w:ind w:left="160"/>
              <w:spacing w:after="0"/>
              <w:rPr>
                <w:sz w:val="20"/>
                <w:szCs w:val="20"/>
                <w:color w:val="auto"/>
              </w:rPr>
            </w:pPr>
            <w:r>
              <w:rPr>
                <w:rFonts w:ascii="Arial" w:cs="Arial" w:eastAsia="Arial" w:hAnsi="Arial"/>
                <w:sz w:val="15"/>
                <w:szCs w:val="15"/>
                <w:color w:val="auto"/>
              </w:rPr>
              <w:t>and $250.4 at January 31, 2019 and October 31, 2018, respectively</w:t>
            </w:r>
          </w:p>
        </w:tc>
        <w:tc>
          <w:tcPr>
            <w:tcW w:w="220" w:type="dxa"/>
            <w:vAlign w:val="bottom"/>
            <w:shd w:val="clear" w:color="auto" w:fill="DCE2EF"/>
          </w:tcPr>
          <w:p>
            <w:pPr>
              <w:spacing w:after="0"/>
              <w:rPr>
                <w:sz w:val="16"/>
                <w:szCs w:val="16"/>
                <w:color w:val="auto"/>
              </w:rPr>
            </w:pPr>
          </w:p>
        </w:tc>
        <w:tc>
          <w:tcPr>
            <w:tcW w:w="17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340.7</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355.7</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23"/>
                <w:szCs w:val="23"/>
                <w:color w:val="auto"/>
              </w:rPr>
            </w:pPr>
          </w:p>
        </w:tc>
        <w:tc>
          <w:tcPr>
            <w:tcW w:w="1720" w:type="dxa"/>
            <w:vAlign w:val="bottom"/>
          </w:tcPr>
          <w:p>
            <w:pPr>
              <w:jc w:val="right"/>
              <w:ind w:right="43"/>
              <w:spacing w:after="0"/>
              <w:rPr>
                <w:sz w:val="20"/>
                <w:szCs w:val="20"/>
                <w:color w:val="auto"/>
              </w:rPr>
            </w:pPr>
            <w:r>
              <w:rPr>
                <w:rFonts w:ascii="Arial" w:cs="Arial" w:eastAsia="Arial" w:hAnsi="Arial"/>
                <w:sz w:val="15"/>
                <w:szCs w:val="15"/>
                <w:color w:val="auto"/>
              </w:rPr>
              <w:t>1,836.4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1,834.8</w:t>
            </w:r>
          </w:p>
        </w:tc>
        <w:tc>
          <w:tcPr>
            <w:tcW w:w="0" w:type="dxa"/>
            <w:vAlign w:val="bottom"/>
          </w:tcPr>
          <w:p>
            <w:pPr>
              <w:spacing w:after="0"/>
              <w:rPr>
                <w:sz w:val="1"/>
                <w:szCs w:val="1"/>
                <w:color w:val="auto"/>
              </w:rPr>
            </w:pPr>
          </w:p>
        </w:tc>
      </w:tr>
      <w:tr>
        <w:trPr>
          <w:trHeight w:val="27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noncurrent assets</w:t>
            </w:r>
          </w:p>
        </w:tc>
        <w:tc>
          <w:tcPr>
            <w:tcW w:w="220" w:type="dxa"/>
            <w:vAlign w:val="bottom"/>
            <w:tcBorders>
              <w:bottom w:val="single" w:sz="8" w:color="auto"/>
            </w:tcBorders>
            <w:shd w:val="clear" w:color="auto" w:fill="DCE2EF"/>
          </w:tcPr>
          <w:p>
            <w:pPr>
              <w:spacing w:after="0"/>
              <w:rPr>
                <w:sz w:val="23"/>
                <w:szCs w:val="23"/>
                <w:color w:val="auto"/>
              </w:rPr>
            </w:pPr>
          </w:p>
        </w:tc>
        <w:tc>
          <w:tcPr>
            <w:tcW w:w="172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122.7</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109.6</w:t>
            </w:r>
          </w:p>
        </w:tc>
        <w:tc>
          <w:tcPr>
            <w:tcW w:w="0" w:type="dxa"/>
            <w:vAlign w:val="bottom"/>
          </w:tcPr>
          <w:p>
            <w:pPr>
              <w:spacing w:after="0"/>
              <w:rPr>
                <w:sz w:val="1"/>
                <w:szCs w:val="1"/>
                <w:color w:val="auto"/>
              </w:rPr>
            </w:pPr>
          </w:p>
        </w:tc>
      </w:tr>
      <w:tr>
        <w:trPr>
          <w:trHeight w:val="281"/>
        </w:trPr>
        <w:tc>
          <w:tcPr>
            <w:tcW w:w="74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3,686.4</w:t>
            </w:r>
          </w:p>
        </w:tc>
        <w:tc>
          <w:tcPr>
            <w:tcW w:w="100" w:type="dxa"/>
            <w:vAlign w:val="bottom"/>
            <w:tcBorders>
              <w:bottom w:val="single" w:sz="8" w:color="DCE2EF"/>
            </w:tcBorders>
          </w:tcPr>
          <w:p>
            <w:pPr>
              <w:spacing w:after="0"/>
              <w:rPr>
                <w:sz w:val="24"/>
                <w:szCs w:val="24"/>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3,627.5</w:t>
            </w:r>
          </w:p>
        </w:tc>
        <w:tc>
          <w:tcPr>
            <w:tcW w:w="0" w:type="dxa"/>
            <w:vAlign w:val="bottom"/>
          </w:tcPr>
          <w:p>
            <w:pPr>
              <w:spacing w:after="0"/>
              <w:rPr>
                <w:sz w:val="1"/>
                <w:szCs w:val="1"/>
                <w:color w:val="auto"/>
              </w:rPr>
            </w:pPr>
          </w:p>
        </w:tc>
      </w:tr>
      <w:tr>
        <w:trPr>
          <w:trHeight w:val="251"/>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shd w:val="clear" w:color="auto" w:fill="DCE2EF"/>
          </w:tcPr>
          <w:p>
            <w:pPr>
              <w:spacing w:after="0"/>
              <w:rPr>
                <w:sz w:val="21"/>
                <w:szCs w:val="21"/>
                <w:color w:val="auto"/>
              </w:rPr>
            </w:pPr>
          </w:p>
        </w:tc>
        <w:tc>
          <w:tcPr>
            <w:tcW w:w="17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170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Current portion of long-term debt, net</w:t>
            </w: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42.1</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Trade accounts payable</w:t>
            </w:r>
          </w:p>
        </w:tc>
        <w:tc>
          <w:tcPr>
            <w:tcW w:w="220" w:type="dxa"/>
            <w:vAlign w:val="bottom"/>
          </w:tcPr>
          <w:p>
            <w:pPr>
              <w:spacing w:after="0"/>
              <w:rPr>
                <w:sz w:val="23"/>
                <w:szCs w:val="23"/>
                <w:color w:val="auto"/>
              </w:rPr>
            </w:pPr>
          </w:p>
        </w:tc>
        <w:tc>
          <w:tcPr>
            <w:tcW w:w="1720" w:type="dxa"/>
            <w:vAlign w:val="bottom"/>
          </w:tcPr>
          <w:p>
            <w:pPr>
              <w:jc w:val="right"/>
              <w:ind w:right="43"/>
              <w:spacing w:after="0"/>
              <w:rPr>
                <w:sz w:val="20"/>
                <w:szCs w:val="20"/>
                <w:color w:val="auto"/>
              </w:rPr>
            </w:pPr>
            <w:r>
              <w:rPr>
                <w:rFonts w:ascii="Arial" w:cs="Arial" w:eastAsia="Arial" w:hAnsi="Arial"/>
                <w:sz w:val="15"/>
                <w:szCs w:val="15"/>
                <w:color w:val="auto"/>
              </w:rPr>
              <w:t>209.1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221.9</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Accrued compensation</w:t>
            </w:r>
          </w:p>
        </w:tc>
        <w:tc>
          <w:tcPr>
            <w:tcW w:w="220" w:type="dxa"/>
            <w:vAlign w:val="bottom"/>
            <w:shd w:val="clear" w:color="auto" w:fill="DCE2EF"/>
          </w:tcPr>
          <w:p>
            <w:pPr>
              <w:spacing w:after="0"/>
              <w:rPr>
                <w:sz w:val="23"/>
                <w:szCs w:val="23"/>
                <w:color w:val="auto"/>
              </w:rPr>
            </w:pPr>
          </w:p>
        </w:tc>
        <w:tc>
          <w:tcPr>
            <w:tcW w:w="17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142.1</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172.1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Accrued taxes—other than income</w:t>
            </w:r>
          </w:p>
        </w:tc>
        <w:tc>
          <w:tcPr>
            <w:tcW w:w="220" w:type="dxa"/>
            <w:vAlign w:val="bottom"/>
          </w:tcPr>
          <w:p>
            <w:pPr>
              <w:spacing w:after="0"/>
              <w:rPr>
                <w:sz w:val="23"/>
                <w:szCs w:val="23"/>
                <w:color w:val="auto"/>
              </w:rPr>
            </w:pPr>
          </w:p>
        </w:tc>
        <w:tc>
          <w:tcPr>
            <w:tcW w:w="1720" w:type="dxa"/>
            <w:vAlign w:val="bottom"/>
          </w:tcPr>
          <w:p>
            <w:pPr>
              <w:jc w:val="right"/>
              <w:ind w:right="43"/>
              <w:spacing w:after="0"/>
              <w:rPr>
                <w:sz w:val="20"/>
                <w:szCs w:val="20"/>
                <w:color w:val="auto"/>
              </w:rPr>
            </w:pPr>
            <w:r>
              <w:rPr>
                <w:rFonts w:ascii="Arial" w:cs="Arial" w:eastAsia="Arial" w:hAnsi="Arial"/>
                <w:sz w:val="15"/>
                <w:szCs w:val="15"/>
                <w:color w:val="auto"/>
              </w:rPr>
              <w:t>64.8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Insurance claims</w:t>
            </w:r>
          </w:p>
        </w:tc>
        <w:tc>
          <w:tcPr>
            <w:tcW w:w="220" w:type="dxa"/>
            <w:vAlign w:val="bottom"/>
            <w:shd w:val="clear" w:color="auto" w:fill="DCE2EF"/>
          </w:tcPr>
          <w:p>
            <w:pPr>
              <w:spacing w:after="0"/>
              <w:rPr>
                <w:sz w:val="23"/>
                <w:szCs w:val="23"/>
                <w:color w:val="auto"/>
              </w:rPr>
            </w:pPr>
          </w:p>
        </w:tc>
        <w:tc>
          <w:tcPr>
            <w:tcW w:w="17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157.2</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149.5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Income taxes payable</w:t>
            </w:r>
          </w:p>
        </w:tc>
        <w:tc>
          <w:tcPr>
            <w:tcW w:w="220" w:type="dxa"/>
            <w:vAlign w:val="bottom"/>
          </w:tcPr>
          <w:p>
            <w:pPr>
              <w:spacing w:after="0"/>
              <w:rPr>
                <w:sz w:val="23"/>
                <w:szCs w:val="23"/>
                <w:color w:val="auto"/>
              </w:rPr>
            </w:pPr>
          </w:p>
        </w:tc>
        <w:tc>
          <w:tcPr>
            <w:tcW w:w="1720" w:type="dxa"/>
            <w:vAlign w:val="bottom"/>
          </w:tcPr>
          <w:p>
            <w:pPr>
              <w:jc w:val="right"/>
              <w:ind w:right="43"/>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Other accrued liabilities</w:t>
            </w:r>
          </w:p>
        </w:tc>
        <w:tc>
          <w:tcPr>
            <w:tcW w:w="220" w:type="dxa"/>
            <w:vAlign w:val="bottom"/>
            <w:tcBorders>
              <w:bottom w:val="single" w:sz="8" w:color="auto"/>
            </w:tcBorders>
            <w:shd w:val="clear" w:color="auto" w:fill="DCE2EF"/>
          </w:tcPr>
          <w:p>
            <w:pPr>
              <w:spacing w:after="0"/>
              <w:rPr>
                <w:sz w:val="23"/>
                <w:szCs w:val="23"/>
                <w:color w:val="auto"/>
              </w:rPr>
            </w:pPr>
          </w:p>
        </w:tc>
        <w:tc>
          <w:tcPr>
            <w:tcW w:w="172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175.7</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152.7</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680"/>
              <w:spacing w:after="0"/>
              <w:rPr>
                <w:sz w:val="20"/>
                <w:szCs w:val="20"/>
                <w:color w:val="auto"/>
              </w:rPr>
            </w:pPr>
            <w:r>
              <w:rPr>
                <w:rFonts w:ascii="Arial" w:cs="Arial" w:eastAsia="Arial" w:hAnsi="Arial"/>
                <w:sz w:val="15"/>
                <w:szCs w:val="15"/>
                <w:color w:val="auto"/>
              </w:rPr>
              <w:t>Total current liabilities</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798.0</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792.5</w:t>
            </w:r>
          </w:p>
        </w:tc>
        <w:tc>
          <w:tcPr>
            <w:tcW w:w="0" w:type="dxa"/>
            <w:vAlign w:val="bottom"/>
          </w:tcPr>
          <w:p>
            <w:pPr>
              <w:spacing w:after="0"/>
              <w:rPr>
                <w:sz w:val="1"/>
                <w:szCs w:val="1"/>
                <w:color w:val="auto"/>
              </w:rPr>
            </w:pPr>
          </w:p>
        </w:tc>
      </w:tr>
      <w:tr>
        <w:trPr>
          <w:trHeight w:val="25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Long-term debt, net</w:t>
            </w:r>
          </w:p>
        </w:tc>
        <w:tc>
          <w:tcPr>
            <w:tcW w:w="220" w:type="dxa"/>
            <w:vAlign w:val="bottom"/>
            <w:shd w:val="clear" w:color="auto" w:fill="DCE2EF"/>
          </w:tcPr>
          <w:p>
            <w:pPr>
              <w:spacing w:after="0"/>
              <w:rPr>
                <w:sz w:val="22"/>
                <w:szCs w:val="22"/>
                <w:color w:val="auto"/>
              </w:rPr>
            </w:pPr>
          </w:p>
        </w:tc>
        <w:tc>
          <w:tcPr>
            <w:tcW w:w="17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945.8</w:t>
            </w:r>
          </w:p>
        </w:tc>
        <w:tc>
          <w:tcPr>
            <w:tcW w:w="10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902.0</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Deferred income tax liability, net</w:t>
            </w:r>
          </w:p>
        </w:tc>
        <w:tc>
          <w:tcPr>
            <w:tcW w:w="220" w:type="dxa"/>
            <w:vAlign w:val="bottom"/>
          </w:tcPr>
          <w:p>
            <w:pPr>
              <w:spacing w:after="0"/>
              <w:rPr>
                <w:sz w:val="23"/>
                <w:szCs w:val="23"/>
                <w:color w:val="auto"/>
              </w:rPr>
            </w:pPr>
          </w:p>
        </w:tc>
        <w:tc>
          <w:tcPr>
            <w:tcW w:w="1720" w:type="dxa"/>
            <w:vAlign w:val="bottom"/>
          </w:tcPr>
          <w:p>
            <w:pPr>
              <w:jc w:val="right"/>
              <w:ind w:right="43"/>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37.8</w:t>
            </w: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insurance claims</w:t>
            </w:r>
          </w:p>
        </w:tc>
        <w:tc>
          <w:tcPr>
            <w:tcW w:w="220" w:type="dxa"/>
            <w:vAlign w:val="bottom"/>
            <w:shd w:val="clear" w:color="auto" w:fill="DCE2EF"/>
          </w:tcPr>
          <w:p>
            <w:pPr>
              <w:spacing w:after="0"/>
              <w:rPr>
                <w:sz w:val="23"/>
                <w:szCs w:val="23"/>
                <w:color w:val="auto"/>
              </w:rPr>
            </w:pPr>
          </w:p>
        </w:tc>
        <w:tc>
          <w:tcPr>
            <w:tcW w:w="17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364.5</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360.8</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220" w:type="dxa"/>
            <w:vAlign w:val="bottom"/>
          </w:tcPr>
          <w:p>
            <w:pPr>
              <w:spacing w:after="0"/>
              <w:rPr>
                <w:sz w:val="23"/>
                <w:szCs w:val="23"/>
                <w:color w:val="auto"/>
              </w:rPr>
            </w:pPr>
          </w:p>
        </w:tc>
        <w:tc>
          <w:tcPr>
            <w:tcW w:w="1720" w:type="dxa"/>
            <w:vAlign w:val="bottom"/>
          </w:tcPr>
          <w:p>
            <w:pPr>
              <w:jc w:val="right"/>
              <w:ind w:right="43"/>
              <w:spacing w:after="0"/>
              <w:rPr>
                <w:sz w:val="20"/>
                <w:szCs w:val="20"/>
                <w:color w:val="auto"/>
              </w:rPr>
            </w:pPr>
            <w:r>
              <w:rPr>
                <w:rFonts w:ascii="Arial" w:cs="Arial" w:eastAsia="Arial" w:hAnsi="Arial"/>
                <w:sz w:val="15"/>
                <w:szCs w:val="15"/>
                <w:color w:val="auto"/>
              </w:rPr>
              <w:t>70.4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62.9</w:t>
            </w:r>
          </w:p>
        </w:tc>
        <w:tc>
          <w:tcPr>
            <w:tcW w:w="0" w:type="dxa"/>
            <w:vAlign w:val="bottom"/>
          </w:tcPr>
          <w:p>
            <w:pPr>
              <w:spacing w:after="0"/>
              <w:rPr>
                <w:sz w:val="1"/>
                <w:szCs w:val="1"/>
                <w:color w:val="auto"/>
              </w:rPr>
            </w:pPr>
          </w:p>
        </w:tc>
      </w:tr>
      <w:tr>
        <w:trPr>
          <w:trHeight w:val="27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income taxes payable</w:t>
            </w:r>
          </w:p>
        </w:tc>
        <w:tc>
          <w:tcPr>
            <w:tcW w:w="220" w:type="dxa"/>
            <w:vAlign w:val="bottom"/>
            <w:tcBorders>
              <w:bottom w:val="single" w:sz="8" w:color="auto"/>
            </w:tcBorders>
            <w:shd w:val="clear" w:color="auto" w:fill="DCE2EF"/>
          </w:tcPr>
          <w:p>
            <w:pPr>
              <w:spacing w:after="0"/>
              <w:rPr>
                <w:sz w:val="23"/>
                <w:szCs w:val="23"/>
                <w:color w:val="auto"/>
              </w:rPr>
            </w:pPr>
          </w:p>
        </w:tc>
        <w:tc>
          <w:tcPr>
            <w:tcW w:w="172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17.5</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2,225.3</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2,172.9</w:t>
            </w:r>
          </w:p>
        </w:tc>
        <w:tc>
          <w:tcPr>
            <w:tcW w:w="0" w:type="dxa"/>
            <w:vAlign w:val="bottom"/>
          </w:tcPr>
          <w:p>
            <w:pPr>
              <w:spacing w:after="0"/>
              <w:rPr>
                <w:sz w:val="1"/>
                <w:szCs w:val="1"/>
                <w:color w:val="auto"/>
              </w:rPr>
            </w:pPr>
          </w:p>
        </w:tc>
      </w:tr>
      <w:tr>
        <w:trPr>
          <w:trHeight w:val="25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Commitments and contingencies</w:t>
            </w:r>
          </w:p>
        </w:tc>
        <w:tc>
          <w:tcPr>
            <w:tcW w:w="220" w:type="dxa"/>
            <w:vAlign w:val="bottom"/>
            <w:shd w:val="clear" w:color="auto" w:fill="DCE2EF"/>
          </w:tcPr>
          <w:p>
            <w:pPr>
              <w:spacing w:after="0"/>
              <w:rPr>
                <w:sz w:val="22"/>
                <w:szCs w:val="22"/>
                <w:color w:val="auto"/>
              </w:rPr>
            </w:pPr>
          </w:p>
        </w:tc>
        <w:tc>
          <w:tcPr>
            <w:tcW w:w="17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170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20" w:type="dxa"/>
            <w:vAlign w:val="bottom"/>
            <w:shd w:val="clear" w:color="auto" w:fill="DCE2EF"/>
          </w:tcPr>
          <w:p>
            <w:pPr>
              <w:spacing w:after="0"/>
              <w:rPr>
                <w:sz w:val="23"/>
                <w:szCs w:val="23"/>
                <w:color w:val="auto"/>
              </w:rPr>
            </w:pPr>
          </w:p>
        </w:tc>
        <w:tc>
          <w:tcPr>
            <w:tcW w:w="1820" w:type="dxa"/>
            <w:vAlign w:val="bottom"/>
            <w:gridSpan w:val="2"/>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Common stock, $0.01 par value; 100,000,000 shares authorized;</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66,210,379 and 66,004,361 shares issued and outstanding at</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January 31, 2019 and October 31, 2018, respectively</w:t>
            </w:r>
          </w:p>
        </w:tc>
        <w:tc>
          <w:tcPr>
            <w:tcW w:w="220" w:type="dxa"/>
            <w:vAlign w:val="bottom"/>
          </w:tcPr>
          <w:p>
            <w:pPr>
              <w:spacing w:after="0"/>
              <w:rPr>
                <w:sz w:val="16"/>
                <w:szCs w:val="16"/>
                <w:color w:val="auto"/>
              </w:rPr>
            </w:pPr>
          </w:p>
        </w:tc>
        <w:tc>
          <w:tcPr>
            <w:tcW w:w="172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Additional paid-in capital</w:t>
            </w:r>
          </w:p>
        </w:tc>
        <w:tc>
          <w:tcPr>
            <w:tcW w:w="220" w:type="dxa"/>
            <w:vAlign w:val="bottom"/>
            <w:shd w:val="clear" w:color="auto" w:fill="DCE2EF"/>
          </w:tcPr>
          <w:p>
            <w:pPr>
              <w:spacing w:after="0"/>
              <w:rPr>
                <w:sz w:val="23"/>
                <w:szCs w:val="23"/>
                <w:color w:val="auto"/>
              </w:rPr>
            </w:pPr>
          </w:p>
        </w:tc>
        <w:tc>
          <w:tcPr>
            <w:tcW w:w="17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694.1</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691.8</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Accumulated other comprehensive loss, net of taxes</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Retained earnings</w:t>
            </w:r>
          </w:p>
        </w:tc>
        <w:tc>
          <w:tcPr>
            <w:tcW w:w="220" w:type="dxa"/>
            <w:vAlign w:val="bottom"/>
            <w:tcBorders>
              <w:bottom w:val="single" w:sz="8" w:color="auto"/>
            </w:tcBorders>
            <w:shd w:val="clear" w:color="auto" w:fill="DCE2EF"/>
          </w:tcPr>
          <w:p>
            <w:pPr>
              <w:spacing w:after="0"/>
              <w:rPr>
                <w:sz w:val="23"/>
                <w:szCs w:val="23"/>
                <w:color w:val="auto"/>
              </w:rPr>
            </w:pPr>
          </w:p>
        </w:tc>
        <w:tc>
          <w:tcPr>
            <w:tcW w:w="172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778.6</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771.2</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1,461.1</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1,454.6</w:t>
            </w:r>
          </w:p>
        </w:tc>
        <w:tc>
          <w:tcPr>
            <w:tcW w:w="0" w:type="dxa"/>
            <w:vAlign w:val="bottom"/>
          </w:tcPr>
          <w:p>
            <w:pPr>
              <w:spacing w:after="0"/>
              <w:rPr>
                <w:sz w:val="1"/>
                <w:szCs w:val="1"/>
                <w:color w:val="auto"/>
              </w:rPr>
            </w:pPr>
          </w:p>
        </w:tc>
      </w:tr>
      <w:tr>
        <w:trPr>
          <w:trHeight w:val="241"/>
        </w:trPr>
        <w:tc>
          <w:tcPr>
            <w:tcW w:w="74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3,686.4</w:t>
            </w:r>
          </w:p>
        </w:tc>
        <w:tc>
          <w:tcPr>
            <w:tcW w:w="10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3,627.5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1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46" w:right="239" w:bottom="1151"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COMPREHENSIVE INCOME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220"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20955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80" w:type="dxa"/>
            <w:vAlign w:val="bottom"/>
          </w:tcPr>
          <w:p>
            <w:pPr>
              <w:spacing w:after="0"/>
              <w:rPr>
                <w:sz w:val="16"/>
                <w:szCs w:val="16"/>
                <w:color w:val="auto"/>
              </w:rPr>
            </w:pPr>
          </w:p>
        </w:tc>
        <w:tc>
          <w:tcPr>
            <w:tcW w:w="1340" w:type="dxa"/>
            <w:vAlign w:val="bottom"/>
          </w:tcPr>
          <w:p>
            <w:pPr>
              <w:jc w:val="right"/>
              <w:ind w:right="62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01"/>
              <w:spacing w:after="0"/>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top w:val="single" w:sz="8" w:color="auto"/>
              <w:bottom w:val="single" w:sz="8" w:color="DCE2EF"/>
            </w:tcBorders>
          </w:tcPr>
          <w:p>
            <w:pPr>
              <w:spacing w:after="0" w:line="20" w:lineRule="exact"/>
              <w:rPr>
                <w:sz w:val="1"/>
                <w:szCs w:val="1"/>
                <w:color w:val="auto"/>
              </w:rPr>
            </w:pPr>
          </w:p>
        </w:tc>
        <w:tc>
          <w:tcPr>
            <w:tcW w:w="56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78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DCE2EF"/>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1,607.9</w:t>
            </w:r>
          </w:p>
        </w:tc>
        <w:tc>
          <w:tcPr>
            <w:tcW w:w="100" w:type="dxa"/>
            <w:vAlign w:val="bottom"/>
            <w:shd w:val="clear" w:color="auto" w:fill="DCE2EF"/>
          </w:tcPr>
          <w:p>
            <w:pPr>
              <w:spacing w:after="0"/>
              <w:rPr>
                <w:sz w:val="21"/>
                <w:szCs w:val="21"/>
                <w:color w:val="auto"/>
              </w:rPr>
            </w:pPr>
          </w:p>
        </w:tc>
        <w:tc>
          <w:tcPr>
            <w:tcW w:w="380" w:type="dxa"/>
            <w:vAlign w:val="bottom"/>
            <w:shd w:val="clear" w:color="auto" w:fill="DCE2E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1,588.3</w:t>
            </w:r>
          </w:p>
        </w:tc>
      </w:tr>
      <w:tr>
        <w:trPr>
          <w:trHeight w:val="266"/>
        </w:trPr>
        <w:tc>
          <w:tcPr>
            <w:tcW w:w="788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1,446.0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1,429.3</w:t>
            </w:r>
          </w:p>
        </w:tc>
      </w:tr>
      <w:tr>
        <w:trPr>
          <w:trHeight w:val="274"/>
        </w:trPr>
        <w:tc>
          <w:tcPr>
            <w:tcW w:w="78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shd w:val="clear" w:color="auto" w:fill="DCE2EF"/>
          </w:tcPr>
          <w:p>
            <w:pPr>
              <w:spacing w:after="0"/>
              <w:rPr>
                <w:sz w:val="23"/>
                <w:szCs w:val="23"/>
                <w:color w:val="auto"/>
              </w:rPr>
            </w:pP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112.7</w:t>
            </w:r>
          </w:p>
        </w:tc>
        <w:tc>
          <w:tcPr>
            <w:tcW w:w="10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3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109.0</w:t>
            </w:r>
          </w:p>
        </w:tc>
      </w:tr>
      <w:tr>
        <w:trPr>
          <w:trHeight w:val="266"/>
        </w:trPr>
        <w:tc>
          <w:tcPr>
            <w:tcW w:w="7880" w:type="dxa"/>
            <w:vAlign w:val="bottom"/>
            <w:gridSpan w:val="3"/>
          </w:tcPr>
          <w:p>
            <w:pPr>
              <w:ind w:left="20"/>
              <w:spacing w:after="0"/>
              <w:rPr>
                <w:sz w:val="20"/>
                <w:szCs w:val="20"/>
                <w:color w:val="auto"/>
              </w:rPr>
            </w:pPr>
            <w:r>
              <w:rPr>
                <w:rFonts w:ascii="Arial" w:cs="Arial" w:eastAsia="Arial" w:hAnsi="Arial"/>
                <w:sz w:val="16"/>
                <w:szCs w:val="16"/>
                <w:color w:val="auto"/>
              </w:rPr>
              <w:t>Restructuring and related expenses</w:t>
            </w:r>
          </w:p>
        </w:tc>
        <w:tc>
          <w:tcPr>
            <w:tcW w:w="3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14.3</w:t>
            </w:r>
          </w:p>
        </w:tc>
      </w:tr>
      <w:tr>
        <w:trPr>
          <w:trHeight w:val="274"/>
        </w:trPr>
        <w:tc>
          <w:tcPr>
            <w:tcW w:w="78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Borders>
              <w:bottom w:val="single" w:sz="8" w:color="auto"/>
            </w:tcBorders>
            <w:shd w:val="clear" w:color="auto" w:fill="DCE2EF"/>
          </w:tcPr>
          <w:p>
            <w:pPr>
              <w:spacing w:after="0"/>
              <w:rPr>
                <w:sz w:val="23"/>
                <w:szCs w:val="23"/>
                <w:color w:val="auto"/>
              </w:rPr>
            </w:pPr>
          </w:p>
        </w:tc>
        <w:tc>
          <w:tcPr>
            <w:tcW w:w="13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32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16.2</w:t>
            </w:r>
          </w:p>
        </w:tc>
      </w:tr>
      <w:tr>
        <w:trPr>
          <w:trHeight w:val="246"/>
        </w:trPr>
        <w:tc>
          <w:tcPr>
            <w:tcW w:w="7880" w:type="dxa"/>
            <w:vAlign w:val="bottom"/>
            <w:gridSpan w:val="3"/>
          </w:tcPr>
          <w:p>
            <w:pPr>
              <w:ind w:left="20"/>
              <w:spacing w:after="0"/>
              <w:rPr>
                <w:sz w:val="20"/>
                <w:szCs w:val="20"/>
                <w:color w:val="auto"/>
              </w:rPr>
            </w:pPr>
            <w:r>
              <w:rPr>
                <w:rFonts w:ascii="Arial" w:cs="Arial" w:eastAsia="Arial" w:hAnsi="Arial"/>
                <w:sz w:val="16"/>
                <w:szCs w:val="16"/>
                <w:b w:val="1"/>
                <w:bCs w:val="1"/>
                <w:color w:val="auto"/>
              </w:rPr>
              <w:t>Operating profit</w:t>
            </w:r>
          </w:p>
        </w:tc>
        <w:tc>
          <w:tcPr>
            <w:tcW w:w="38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19.5</w:t>
            </w:r>
          </w:p>
        </w:tc>
      </w:tr>
      <w:tr>
        <w:trPr>
          <w:trHeight w:val="274"/>
        </w:trPr>
        <w:tc>
          <w:tcPr>
            <w:tcW w:w="78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from unconsolidated affiliates, net</w:t>
            </w:r>
          </w:p>
        </w:tc>
        <w:tc>
          <w:tcPr>
            <w:tcW w:w="380" w:type="dxa"/>
            <w:vAlign w:val="bottom"/>
            <w:shd w:val="clear" w:color="auto" w:fill="DCE2EF"/>
          </w:tcPr>
          <w:p>
            <w:pPr>
              <w:spacing w:after="0"/>
              <w:rPr>
                <w:sz w:val="23"/>
                <w:szCs w:val="23"/>
                <w:color w:val="auto"/>
              </w:rPr>
            </w:pP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0.9</w:t>
            </w:r>
          </w:p>
        </w:tc>
        <w:tc>
          <w:tcPr>
            <w:tcW w:w="10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3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0.5</w:t>
            </w:r>
          </w:p>
        </w:tc>
      </w:tr>
      <w:tr>
        <w:trPr>
          <w:trHeight w:val="266"/>
        </w:trPr>
        <w:tc>
          <w:tcPr>
            <w:tcW w:w="78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54"/>
        </w:trPr>
        <w:tc>
          <w:tcPr>
            <w:tcW w:w="78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380" w:type="dxa"/>
            <w:vAlign w:val="bottom"/>
            <w:shd w:val="clear" w:color="auto" w:fill="DCE2EF"/>
          </w:tcPr>
          <w:p>
            <w:pPr>
              <w:spacing w:after="0"/>
              <w:rPr>
                <w:sz w:val="22"/>
                <w:szCs w:val="22"/>
                <w:color w:val="auto"/>
              </w:rPr>
            </w:pP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3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5.8</w:t>
            </w:r>
          </w:p>
        </w:tc>
      </w:tr>
      <w:tr>
        <w:trPr>
          <w:trHeight w:val="266"/>
        </w:trPr>
        <w:tc>
          <w:tcPr>
            <w:tcW w:w="78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Income tax (provision) benefit</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22.2</w:t>
            </w:r>
          </w:p>
        </w:tc>
      </w:tr>
      <w:tr>
        <w:trPr>
          <w:trHeight w:val="254"/>
        </w:trPr>
        <w:tc>
          <w:tcPr>
            <w:tcW w:w="78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shd w:val="clear" w:color="auto" w:fill="DCE2EF"/>
          </w:tcPr>
          <w:p>
            <w:pPr>
              <w:spacing w:after="0"/>
              <w:rPr>
                <w:sz w:val="22"/>
                <w:szCs w:val="22"/>
                <w:color w:val="auto"/>
              </w:rPr>
            </w:pP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3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28.0</w:t>
            </w:r>
          </w:p>
        </w:tc>
      </w:tr>
      <w:tr>
        <w:trPr>
          <w:trHeight w:val="266"/>
        </w:trPr>
        <w:tc>
          <w:tcPr>
            <w:tcW w:w="78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Loss from discontinued operations, net of taxes</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54"/>
        </w:trPr>
        <w:tc>
          <w:tcPr>
            <w:tcW w:w="78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shd w:val="clear" w:color="auto" w:fill="DCE2EF"/>
          </w:tcPr>
          <w:p>
            <w:pPr>
              <w:spacing w:after="0"/>
              <w:rPr>
                <w:sz w:val="22"/>
                <w:szCs w:val="22"/>
                <w:color w:val="auto"/>
              </w:rPr>
            </w:pPr>
          </w:p>
        </w:tc>
        <w:tc>
          <w:tcPr>
            <w:tcW w:w="13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spacing w:after="0"/>
              <w:rPr>
                <w:sz w:val="22"/>
                <w:szCs w:val="22"/>
                <w:color w:val="auto"/>
              </w:rPr>
            </w:pPr>
          </w:p>
        </w:tc>
        <w:tc>
          <w:tcPr>
            <w:tcW w:w="132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27.8</w:t>
            </w:r>
          </w:p>
        </w:tc>
      </w:tr>
      <w:tr>
        <w:trPr>
          <w:trHeight w:val="260"/>
        </w:trPr>
        <w:tc>
          <w:tcPr>
            <w:tcW w:w="7880" w:type="dxa"/>
            <w:vAlign w:val="bottom"/>
            <w:gridSpan w:val="3"/>
          </w:tcPr>
          <w:p>
            <w:pPr>
              <w:ind w:left="20"/>
              <w:spacing w:after="0"/>
              <w:rPr>
                <w:sz w:val="20"/>
                <w:szCs w:val="20"/>
                <w:color w:val="auto"/>
              </w:rPr>
            </w:pPr>
            <w:r>
              <w:rPr>
                <w:rFonts w:ascii="Arial" w:cs="Arial" w:eastAsia="Arial" w:hAnsi="Arial"/>
                <w:sz w:val="16"/>
                <w:szCs w:val="16"/>
                <w:color w:val="auto"/>
              </w:rPr>
              <w:t>Other comprehensive income</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4"/>
        </w:trPr>
        <w:tc>
          <w:tcPr>
            <w:tcW w:w="20" w:type="dxa"/>
            <w:vAlign w:val="bottom"/>
            <w:shd w:val="clear" w:color="auto" w:fill="DCE2EF"/>
          </w:tcPr>
          <w:p>
            <w:pPr>
              <w:spacing w:after="0"/>
              <w:rPr>
                <w:sz w:val="23"/>
                <w:szCs w:val="23"/>
                <w:color w:val="auto"/>
              </w:rPr>
            </w:pPr>
          </w:p>
        </w:tc>
        <w:tc>
          <w:tcPr>
            <w:tcW w:w="786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Interest rate swaps</w:t>
            </w:r>
          </w:p>
        </w:tc>
        <w:tc>
          <w:tcPr>
            <w:tcW w:w="380" w:type="dxa"/>
            <w:vAlign w:val="bottom"/>
            <w:shd w:val="clear" w:color="auto" w:fill="DCE2EF"/>
          </w:tcPr>
          <w:p>
            <w:pPr>
              <w:spacing w:after="0"/>
              <w:rPr>
                <w:sz w:val="23"/>
                <w:szCs w:val="23"/>
                <w:color w:val="auto"/>
              </w:rPr>
            </w:pPr>
          </w:p>
        </w:tc>
        <w:tc>
          <w:tcPr>
            <w:tcW w:w="13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(8.7)</w:t>
            </w:r>
          </w:p>
        </w:tc>
        <w:tc>
          <w:tcPr>
            <w:tcW w:w="10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3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18.6</w:t>
            </w:r>
          </w:p>
        </w:tc>
      </w:tr>
      <w:tr>
        <w:trPr>
          <w:trHeight w:val="266"/>
        </w:trPr>
        <w:tc>
          <w:tcPr>
            <w:tcW w:w="20" w:type="dxa"/>
            <w:vAlign w:val="bottom"/>
          </w:tcPr>
          <w:p>
            <w:pPr>
              <w:spacing w:after="0"/>
              <w:rPr>
                <w:sz w:val="23"/>
                <w:szCs w:val="23"/>
                <w:color w:val="auto"/>
              </w:rPr>
            </w:pPr>
          </w:p>
        </w:tc>
        <w:tc>
          <w:tcPr>
            <w:tcW w:w="7860" w:type="dxa"/>
            <w:vAlign w:val="bottom"/>
            <w:gridSpan w:val="2"/>
          </w:tcPr>
          <w:p>
            <w:pPr>
              <w:ind w:left="360"/>
              <w:spacing w:after="0"/>
              <w:rPr>
                <w:sz w:val="20"/>
                <w:szCs w:val="20"/>
                <w:color w:val="auto"/>
              </w:rPr>
            </w:pPr>
            <w:r>
              <w:rPr>
                <w:rFonts w:ascii="Arial" w:cs="Arial" w:eastAsia="Arial" w:hAnsi="Arial"/>
                <w:sz w:val="16"/>
                <w:szCs w:val="16"/>
                <w:color w:val="auto"/>
              </w:rPr>
              <w:t>Foreign currency translation</w:t>
            </w:r>
          </w:p>
        </w:tc>
        <w:tc>
          <w:tcPr>
            <w:tcW w:w="3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9.4</w:t>
            </w:r>
          </w:p>
        </w:tc>
      </w:tr>
      <w:tr>
        <w:trPr>
          <w:trHeight w:val="274"/>
        </w:trPr>
        <w:tc>
          <w:tcPr>
            <w:tcW w:w="20" w:type="dxa"/>
            <w:vAlign w:val="bottom"/>
            <w:shd w:val="clear" w:color="auto" w:fill="DCE2EF"/>
          </w:tcPr>
          <w:p>
            <w:pPr>
              <w:spacing w:after="0"/>
              <w:rPr>
                <w:sz w:val="23"/>
                <w:szCs w:val="23"/>
                <w:color w:val="auto"/>
              </w:rPr>
            </w:pPr>
          </w:p>
        </w:tc>
        <w:tc>
          <w:tcPr>
            <w:tcW w:w="786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Income tax benefit (provision)</w:t>
            </w:r>
          </w:p>
        </w:tc>
        <w:tc>
          <w:tcPr>
            <w:tcW w:w="380" w:type="dxa"/>
            <w:vAlign w:val="bottom"/>
            <w:tcBorders>
              <w:bottom w:val="single" w:sz="8" w:color="auto"/>
            </w:tcBorders>
            <w:shd w:val="clear" w:color="auto" w:fill="DCE2EF"/>
          </w:tcPr>
          <w:p>
            <w:pPr>
              <w:spacing w:after="0"/>
              <w:rPr>
                <w:sz w:val="23"/>
                <w:szCs w:val="23"/>
                <w:color w:val="auto"/>
              </w:rPr>
            </w:pPr>
          </w:p>
        </w:tc>
        <w:tc>
          <w:tcPr>
            <w:tcW w:w="13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(5.0)</w:t>
            </w:r>
          </w:p>
        </w:tc>
      </w:tr>
      <w:tr>
        <w:trPr>
          <w:trHeight w:val="277"/>
        </w:trPr>
        <w:tc>
          <w:tcPr>
            <w:tcW w:w="788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DCE2EF"/>
            </w:tcBorders>
          </w:tcPr>
          <w:p>
            <w:pPr>
              <w:spacing w:after="0"/>
              <w:rPr>
                <w:sz w:val="24"/>
                <w:szCs w:val="24"/>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50.9</w:t>
            </w:r>
          </w:p>
        </w:tc>
      </w:tr>
      <w:tr>
        <w:trPr>
          <w:trHeight w:val="251"/>
        </w:trPr>
        <w:tc>
          <w:tcPr>
            <w:tcW w:w="78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income per common share — Basic</w:t>
            </w:r>
          </w:p>
        </w:tc>
        <w:tc>
          <w:tcPr>
            <w:tcW w:w="380" w:type="dxa"/>
            <w:vAlign w:val="bottom"/>
            <w:shd w:val="clear" w:color="auto" w:fill="DCE2EF"/>
          </w:tcPr>
          <w:p>
            <w:pPr>
              <w:spacing w:after="0"/>
              <w:rPr>
                <w:sz w:val="21"/>
                <w:szCs w:val="21"/>
                <w:color w:val="auto"/>
              </w:rPr>
            </w:pPr>
          </w:p>
        </w:tc>
        <w:tc>
          <w:tcPr>
            <w:tcW w:w="13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80" w:type="dxa"/>
            <w:vAlign w:val="bottom"/>
            <w:shd w:val="clear" w:color="auto" w:fill="DCE2EF"/>
          </w:tcPr>
          <w:p>
            <w:pPr>
              <w:spacing w:after="0"/>
              <w:rPr>
                <w:sz w:val="21"/>
                <w:szCs w:val="21"/>
                <w:color w:val="auto"/>
              </w:rPr>
            </w:pPr>
          </w:p>
        </w:tc>
        <w:tc>
          <w:tcPr>
            <w:tcW w:w="1320" w:type="dxa"/>
            <w:vAlign w:val="bottom"/>
            <w:shd w:val="clear" w:color="auto" w:fill="DCE2EF"/>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7860" w:type="dxa"/>
            <w:vAlign w:val="bottom"/>
            <w:gridSpan w:val="2"/>
          </w:tcPr>
          <w:p>
            <w:pPr>
              <w:ind w:left="36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3"/>
                <w:szCs w:val="23"/>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0.42</w:t>
            </w:r>
          </w:p>
        </w:tc>
      </w:tr>
      <w:tr>
        <w:trPr>
          <w:trHeight w:val="270"/>
        </w:trPr>
        <w:tc>
          <w:tcPr>
            <w:tcW w:w="20" w:type="dxa"/>
            <w:vAlign w:val="bottom"/>
            <w:shd w:val="clear" w:color="auto" w:fill="DCE2EF"/>
          </w:tcPr>
          <w:p>
            <w:pPr>
              <w:spacing w:after="0"/>
              <w:rPr>
                <w:sz w:val="23"/>
                <w:szCs w:val="23"/>
                <w:color w:val="auto"/>
              </w:rPr>
            </w:pPr>
          </w:p>
        </w:tc>
        <w:tc>
          <w:tcPr>
            <w:tcW w:w="786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Loss from discontinued operations</w:t>
            </w:r>
          </w:p>
        </w:tc>
        <w:tc>
          <w:tcPr>
            <w:tcW w:w="380" w:type="dxa"/>
            <w:vAlign w:val="bottom"/>
            <w:shd w:val="clear" w:color="auto" w:fill="DCE2EF"/>
          </w:tcPr>
          <w:p>
            <w:pPr>
              <w:spacing w:after="0"/>
              <w:rPr>
                <w:sz w:val="23"/>
                <w:szCs w:val="23"/>
                <w:color w:val="auto"/>
              </w:rPr>
            </w:pPr>
          </w:p>
        </w:tc>
        <w:tc>
          <w:tcPr>
            <w:tcW w:w="144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DCE2EF"/>
          </w:tcPr>
          <w:p>
            <w:pPr>
              <w:spacing w:after="0"/>
              <w:rPr>
                <w:sz w:val="23"/>
                <w:szCs w:val="23"/>
                <w:color w:val="auto"/>
              </w:rPr>
            </w:pPr>
          </w:p>
        </w:tc>
        <w:tc>
          <w:tcPr>
            <w:tcW w:w="13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w:t>
            </w:r>
          </w:p>
        </w:tc>
      </w:tr>
      <w:tr>
        <w:trPr>
          <w:trHeight w:val="281"/>
        </w:trPr>
        <w:tc>
          <w:tcPr>
            <w:tcW w:w="20" w:type="dxa"/>
            <w:vAlign w:val="bottom"/>
            <w:tcBorders>
              <w:bottom w:val="single" w:sz="8" w:color="DCE2EF"/>
            </w:tcBorders>
          </w:tcPr>
          <w:p>
            <w:pPr>
              <w:spacing w:after="0"/>
              <w:rPr>
                <w:sz w:val="24"/>
                <w:szCs w:val="24"/>
                <w:color w:val="auto"/>
              </w:rPr>
            </w:pPr>
          </w:p>
        </w:tc>
        <w:tc>
          <w:tcPr>
            <w:tcW w:w="7860" w:type="dxa"/>
            <w:vAlign w:val="bottom"/>
            <w:tcBorders>
              <w:bottom w:val="single" w:sz="8" w:color="DCE2EF"/>
            </w:tcBorders>
            <w:gridSpan w:val="2"/>
          </w:tcPr>
          <w:p>
            <w:pPr>
              <w:ind w:left="360"/>
              <w:spacing w:after="0"/>
              <w:rPr>
                <w:sz w:val="20"/>
                <w:szCs w:val="20"/>
                <w:color w:val="auto"/>
              </w:rPr>
            </w:pPr>
            <w:r>
              <w:rPr>
                <w:rFonts w:ascii="Arial" w:cs="Arial" w:eastAsia="Arial" w:hAnsi="Arial"/>
                <w:sz w:val="16"/>
                <w:szCs w:val="16"/>
                <w:color w:val="auto"/>
              </w:rPr>
              <w:t>Net income</w:t>
            </w: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DCE2E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0.42</w:t>
            </w:r>
          </w:p>
        </w:tc>
      </w:tr>
      <w:tr>
        <w:trPr>
          <w:trHeight w:val="251"/>
        </w:trPr>
        <w:tc>
          <w:tcPr>
            <w:tcW w:w="78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income per common share — Diluted</w:t>
            </w:r>
          </w:p>
        </w:tc>
        <w:tc>
          <w:tcPr>
            <w:tcW w:w="380" w:type="dxa"/>
            <w:vAlign w:val="bottom"/>
            <w:shd w:val="clear" w:color="auto" w:fill="DCE2EF"/>
          </w:tcPr>
          <w:p>
            <w:pPr>
              <w:spacing w:after="0"/>
              <w:rPr>
                <w:sz w:val="21"/>
                <w:szCs w:val="21"/>
                <w:color w:val="auto"/>
              </w:rPr>
            </w:pPr>
          </w:p>
        </w:tc>
        <w:tc>
          <w:tcPr>
            <w:tcW w:w="13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80" w:type="dxa"/>
            <w:vAlign w:val="bottom"/>
            <w:shd w:val="clear" w:color="auto" w:fill="DCE2EF"/>
          </w:tcPr>
          <w:p>
            <w:pPr>
              <w:spacing w:after="0"/>
              <w:rPr>
                <w:sz w:val="21"/>
                <w:szCs w:val="21"/>
                <w:color w:val="auto"/>
              </w:rPr>
            </w:pPr>
          </w:p>
        </w:tc>
        <w:tc>
          <w:tcPr>
            <w:tcW w:w="1320" w:type="dxa"/>
            <w:vAlign w:val="bottom"/>
            <w:shd w:val="clear" w:color="auto" w:fill="DCE2EF"/>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7860" w:type="dxa"/>
            <w:vAlign w:val="bottom"/>
            <w:gridSpan w:val="2"/>
          </w:tcPr>
          <w:p>
            <w:pPr>
              <w:ind w:left="36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3"/>
                <w:szCs w:val="23"/>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0.42</w:t>
            </w:r>
          </w:p>
        </w:tc>
      </w:tr>
      <w:tr>
        <w:trPr>
          <w:trHeight w:val="270"/>
        </w:trPr>
        <w:tc>
          <w:tcPr>
            <w:tcW w:w="20" w:type="dxa"/>
            <w:vAlign w:val="bottom"/>
            <w:shd w:val="clear" w:color="auto" w:fill="DCE2EF"/>
          </w:tcPr>
          <w:p>
            <w:pPr>
              <w:spacing w:after="0"/>
              <w:rPr>
                <w:sz w:val="23"/>
                <w:szCs w:val="23"/>
                <w:color w:val="auto"/>
              </w:rPr>
            </w:pPr>
          </w:p>
        </w:tc>
        <w:tc>
          <w:tcPr>
            <w:tcW w:w="786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Loss from discontinued operations</w:t>
            </w:r>
          </w:p>
        </w:tc>
        <w:tc>
          <w:tcPr>
            <w:tcW w:w="380" w:type="dxa"/>
            <w:vAlign w:val="bottom"/>
            <w:shd w:val="clear" w:color="auto" w:fill="DCE2EF"/>
          </w:tcPr>
          <w:p>
            <w:pPr>
              <w:spacing w:after="0"/>
              <w:rPr>
                <w:sz w:val="23"/>
                <w:szCs w:val="23"/>
                <w:color w:val="auto"/>
              </w:rPr>
            </w:pPr>
          </w:p>
        </w:tc>
        <w:tc>
          <w:tcPr>
            <w:tcW w:w="144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DCE2EF"/>
          </w:tcPr>
          <w:p>
            <w:pPr>
              <w:spacing w:after="0"/>
              <w:rPr>
                <w:sz w:val="23"/>
                <w:szCs w:val="23"/>
                <w:color w:val="auto"/>
              </w:rPr>
            </w:pPr>
          </w:p>
        </w:tc>
        <w:tc>
          <w:tcPr>
            <w:tcW w:w="13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w:t>
            </w:r>
          </w:p>
        </w:tc>
      </w:tr>
      <w:tr>
        <w:trPr>
          <w:trHeight w:val="281"/>
        </w:trPr>
        <w:tc>
          <w:tcPr>
            <w:tcW w:w="20" w:type="dxa"/>
            <w:vAlign w:val="bottom"/>
            <w:tcBorders>
              <w:bottom w:val="single" w:sz="8" w:color="DCE2EF"/>
            </w:tcBorders>
          </w:tcPr>
          <w:p>
            <w:pPr>
              <w:spacing w:after="0"/>
              <w:rPr>
                <w:sz w:val="24"/>
                <w:szCs w:val="24"/>
                <w:color w:val="auto"/>
              </w:rPr>
            </w:pPr>
          </w:p>
        </w:tc>
        <w:tc>
          <w:tcPr>
            <w:tcW w:w="7860" w:type="dxa"/>
            <w:vAlign w:val="bottom"/>
            <w:tcBorders>
              <w:bottom w:val="single" w:sz="8" w:color="DCE2EF"/>
            </w:tcBorders>
            <w:gridSpan w:val="2"/>
          </w:tcPr>
          <w:p>
            <w:pPr>
              <w:ind w:left="360"/>
              <w:spacing w:after="0"/>
              <w:rPr>
                <w:sz w:val="20"/>
                <w:szCs w:val="20"/>
                <w:color w:val="auto"/>
              </w:rPr>
            </w:pPr>
            <w:r>
              <w:rPr>
                <w:rFonts w:ascii="Arial" w:cs="Arial" w:eastAsia="Arial" w:hAnsi="Arial"/>
                <w:sz w:val="16"/>
                <w:szCs w:val="16"/>
                <w:color w:val="auto"/>
              </w:rPr>
              <w:t>Net income</w:t>
            </w: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DCE2E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0.42</w:t>
            </w:r>
          </w:p>
        </w:tc>
      </w:tr>
      <w:tr>
        <w:trPr>
          <w:trHeight w:val="251"/>
        </w:trPr>
        <w:tc>
          <w:tcPr>
            <w:tcW w:w="788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Weighted-average common and common equivalent shares outstanding</w:t>
            </w:r>
          </w:p>
        </w:tc>
        <w:tc>
          <w:tcPr>
            <w:tcW w:w="380" w:type="dxa"/>
            <w:vAlign w:val="bottom"/>
            <w:shd w:val="clear" w:color="auto" w:fill="DCE2EF"/>
          </w:tcPr>
          <w:p>
            <w:pPr>
              <w:spacing w:after="0"/>
              <w:rPr>
                <w:sz w:val="21"/>
                <w:szCs w:val="21"/>
                <w:color w:val="auto"/>
              </w:rPr>
            </w:pPr>
          </w:p>
        </w:tc>
        <w:tc>
          <w:tcPr>
            <w:tcW w:w="13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80" w:type="dxa"/>
            <w:vAlign w:val="bottom"/>
            <w:shd w:val="clear" w:color="auto" w:fill="DCE2EF"/>
          </w:tcPr>
          <w:p>
            <w:pPr>
              <w:spacing w:after="0"/>
              <w:rPr>
                <w:sz w:val="21"/>
                <w:szCs w:val="21"/>
                <w:color w:val="auto"/>
              </w:rPr>
            </w:pPr>
          </w:p>
        </w:tc>
        <w:tc>
          <w:tcPr>
            <w:tcW w:w="1320" w:type="dxa"/>
            <w:vAlign w:val="bottom"/>
            <w:shd w:val="clear" w:color="auto" w:fill="DCE2EF"/>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7860" w:type="dxa"/>
            <w:vAlign w:val="bottom"/>
            <w:gridSpan w:val="2"/>
          </w:tcPr>
          <w:p>
            <w:pPr>
              <w:ind w:left="36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65.9</w:t>
            </w:r>
          </w:p>
        </w:tc>
      </w:tr>
      <w:tr>
        <w:trPr>
          <w:trHeight w:val="274"/>
        </w:trPr>
        <w:tc>
          <w:tcPr>
            <w:tcW w:w="20" w:type="dxa"/>
            <w:vAlign w:val="bottom"/>
            <w:shd w:val="clear" w:color="auto" w:fill="DCE2EF"/>
          </w:tcPr>
          <w:p>
            <w:pPr>
              <w:spacing w:after="0"/>
              <w:rPr>
                <w:sz w:val="23"/>
                <w:szCs w:val="23"/>
                <w:color w:val="auto"/>
              </w:rPr>
            </w:pPr>
          </w:p>
        </w:tc>
        <w:tc>
          <w:tcPr>
            <w:tcW w:w="786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DCE2EF"/>
          </w:tcPr>
          <w:p>
            <w:pPr>
              <w:spacing w:after="0"/>
              <w:rPr>
                <w:sz w:val="23"/>
                <w:szCs w:val="23"/>
                <w:color w:val="auto"/>
              </w:rPr>
            </w:pP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3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66.3</w:t>
            </w:r>
          </w:p>
        </w:tc>
      </w:tr>
      <w:tr>
        <w:trPr>
          <w:trHeight w:val="262"/>
        </w:trPr>
        <w:tc>
          <w:tcPr>
            <w:tcW w:w="7880" w:type="dxa"/>
            <w:vAlign w:val="bottom"/>
            <w:gridSpan w:val="3"/>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0.180</w:t>
            </w:r>
          </w:p>
        </w:tc>
        <w:tc>
          <w:tcPr>
            <w:tcW w:w="100" w:type="dxa"/>
            <w:vAlign w:val="bottom"/>
          </w:tcPr>
          <w:p>
            <w:pPr>
              <w:spacing w:after="0"/>
              <w:rPr>
                <w:sz w:val="22"/>
                <w:szCs w:val="22"/>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0.175</w:t>
            </w:r>
          </w:p>
        </w:tc>
      </w:tr>
    </w:tbl>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46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0046AD"/>
        </w:rPr>
        <w:t>ABM INDUSTRIES INCORPORATED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CONSOLIDATED STATEMENTS OF CASH FLOWS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(UNAUDITED)</w:t>
      </w:r>
    </w:p>
    <w:p>
      <w:pPr>
        <w:spacing w:after="0" w:line="240"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26035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40" w:type="dxa"/>
            <w:vAlign w:val="bottom"/>
          </w:tcPr>
          <w:p>
            <w:pPr>
              <w:spacing w:after="0"/>
              <w:rPr>
                <w:sz w:val="14"/>
                <w:szCs w:val="14"/>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76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27.8</w:t>
            </w:r>
          </w:p>
        </w:tc>
      </w:tr>
      <w:tr>
        <w:trPr>
          <w:trHeight w:val="27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Loss from discontinued operations, net of taxes</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0.1</w:t>
            </w:r>
          </w:p>
        </w:tc>
      </w:tr>
      <w:tr>
        <w:trPr>
          <w:trHeight w:val="250"/>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28.0</w:t>
            </w:r>
          </w:p>
        </w:tc>
      </w:tr>
      <w:tr>
        <w:trPr>
          <w:trHeight w:val="182"/>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(used in) provided by operating activities of</w:t>
            </w:r>
          </w:p>
        </w:tc>
        <w:tc>
          <w:tcPr>
            <w:tcW w:w="340" w:type="dxa"/>
            <w:vAlign w:val="bottom"/>
            <w:shd w:val="clear" w:color="auto" w:fill="DCE2EF"/>
          </w:tcPr>
          <w:p>
            <w:pPr>
              <w:spacing w:after="0"/>
              <w:rPr>
                <w:sz w:val="15"/>
                <w:szCs w:val="15"/>
                <w:color w:val="auto"/>
              </w:rPr>
            </w:pPr>
          </w:p>
        </w:tc>
        <w:tc>
          <w:tcPr>
            <w:tcW w:w="11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120" w:type="dxa"/>
            <w:vAlign w:val="bottom"/>
            <w:shd w:val="clear" w:color="auto" w:fill="DCE2EF"/>
          </w:tcPr>
          <w:p>
            <w:pPr>
              <w:spacing w:after="0"/>
              <w:rPr>
                <w:sz w:val="15"/>
                <w:szCs w:val="15"/>
                <w:color w:val="auto"/>
              </w:rPr>
            </w:pPr>
          </w:p>
        </w:tc>
      </w:tr>
      <w:tr>
        <w:trPr>
          <w:trHeight w:val="202"/>
        </w:trPr>
        <w:tc>
          <w:tcPr>
            <w:tcW w:w="40" w:type="dxa"/>
            <w:vAlign w:val="bottom"/>
            <w:shd w:val="clear" w:color="auto" w:fill="DCE2EF"/>
          </w:tcPr>
          <w:p>
            <w:pPr>
              <w:spacing w:after="0"/>
              <w:rPr>
                <w:sz w:val="17"/>
                <w:szCs w:val="17"/>
                <w:color w:val="auto"/>
              </w:rPr>
            </w:pPr>
          </w:p>
        </w:tc>
        <w:tc>
          <w:tcPr>
            <w:tcW w:w="8300" w:type="dxa"/>
            <w:vAlign w:val="bottom"/>
            <w:gridSpan w:val="2"/>
            <w:shd w:val="clear" w:color="auto" w:fill="DCE2EF"/>
          </w:tcPr>
          <w:p>
            <w:pPr>
              <w:ind w:left="160"/>
              <w:spacing w:after="0"/>
              <w:rPr>
                <w:sz w:val="20"/>
                <w:szCs w:val="20"/>
                <w:color w:val="auto"/>
              </w:rPr>
            </w:pPr>
            <w:r>
              <w:rPr>
                <w:rFonts w:ascii="Arial" w:cs="Arial" w:eastAsia="Arial" w:hAnsi="Arial"/>
                <w:sz w:val="14"/>
                <w:szCs w:val="14"/>
                <w:b w:val="1"/>
                <w:bCs w:val="1"/>
                <w:color w:val="auto"/>
              </w:rPr>
              <w:t>continuing operations</w:t>
            </w: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20" w:type="dxa"/>
            <w:vAlign w:val="bottom"/>
            <w:shd w:val="clear" w:color="auto" w:fill="DCE2EF"/>
          </w:tcPr>
          <w:p>
            <w:pPr>
              <w:spacing w:after="0"/>
              <w:rPr>
                <w:sz w:val="17"/>
                <w:szCs w:val="17"/>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29.0</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(30.3)</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Provision for bad debt</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Discount accretion on insurance claims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Gain on sale of assets</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(68.2)</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15.7</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Other noncurrent assets</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(33.2)</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Insurance claims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5.8</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Income taxes payable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w:t>
            </w:r>
          </w:p>
        </w:tc>
      </w:tr>
      <w:tr>
        <w:trPr>
          <w:trHeight w:val="270"/>
        </w:trPr>
        <w:tc>
          <w:tcPr>
            <w:tcW w:w="40" w:type="dxa"/>
            <w:vAlign w:val="bottom"/>
            <w:shd w:val="clear" w:color="auto" w:fill="DCE2EF"/>
          </w:tcPr>
          <w:p>
            <w:pPr>
              <w:spacing w:after="0"/>
              <w:rPr>
                <w:sz w:val="23"/>
                <w:szCs w:val="23"/>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2.2</w:t>
            </w:r>
          </w:p>
        </w:tc>
      </w:tr>
      <w:tr>
        <w:trPr>
          <w:trHeight w:val="250"/>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Total adjustments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(52.3)</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Net cash (used in) provided by operating activities of continuing operations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33.8</w:t>
            </w:r>
          </w:p>
        </w:tc>
      </w:tr>
      <w:tr>
        <w:trPr>
          <w:trHeight w:val="26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Net cash used in operating activities of discontinued operations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4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33.7</w:t>
            </w:r>
          </w:p>
        </w:tc>
      </w:tr>
      <w:tr>
        <w:trPr>
          <w:trHeight w:val="258"/>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(10.6)</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Proceeds from sale of assets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Adjustments to sale of business</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Purchase of businesses, net of cash acquired</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Investments in unconsolidated affiliates</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r>
      <w:tr>
        <w:trPr>
          <w:trHeight w:val="24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DCE2E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27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20" w:type="dxa"/>
            <w:vAlign w:val="bottom"/>
            <w:shd w:val="clear" w:color="auto" w:fill="DCE2EF"/>
          </w:tcPr>
          <w:p>
            <w:pPr>
              <w:spacing w:after="0"/>
              <w:rPr>
                <w:sz w:val="23"/>
                <w:szCs w:val="23"/>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Taxes withheld from issuance of share-based compensation awards,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Dividends paid</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(11.5)</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Deferred financing costs paid</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Borrowings from credit facility</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357.6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304.3</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Repayment of borrowings from credit facility</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(309.6)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(303.0)</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Changes in book cash overdrafts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Financing of energy savings performance contracts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4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(0.8)</w:t>
            </w:r>
          </w:p>
        </w:tc>
      </w:tr>
      <w:tr>
        <w:trPr>
          <w:trHeight w:val="24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42.0</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4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1.7</w:t>
            </w:r>
          </w:p>
        </w:tc>
      </w:tr>
      <w:tr>
        <w:trPr>
          <w:trHeight w:val="244"/>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3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4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62.8</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68.6</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420"/>
          </w:cols>
          <w:pgMar w:left="240" w:top="364" w:right="239" w:bottom="948"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948"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106045</wp:posOffset>
            </wp:positionV>
            <wp:extent cx="7237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services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We are organized into five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94615</wp:posOffset>
            </wp:positionV>
            <wp:extent cx="5814695" cy="797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46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2018 (“Annual Report”). Unless otherwise indicated, all references to years are to our fiscal year, which ends on October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Discontinued Operations</w:t>
      </w:r>
    </w:p>
    <w:p>
      <w:pPr>
        <w:spacing w:after="0" w:line="13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Following the sale of our Security business in 2015, we record all costs associated with this former business in discontinued operations. Such costs generally relate to litigation we retained and insurance reserves.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Prior Year Reclassifications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November 1, 2018, we have modified the presentation of inter-segment revenues, which are recorded at cost with no associated intercompany profit or loss and are eliminated in consolidation. Our prior period segment data in Note 11, “Segment Information,” has been reclassified to conform with our fiscal 2019 presentation. These changes had no impact on our previously reported consolidated balance sheets, statements of comprehensive income, or statements of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Rounding</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operate certain parking facilities under managed location arrangements. Under these arrangements, we manage the parking facility for a management fee and pass through the revenue and expenses associated with the facility to the owner. See Note 3, “Revenue,” for further details regarding managed location arrangement considerations under the new revenue standards. These revenues and expenses are reported in equal amounts as costs reimbursed from our managed locations:</w:t>
      </w:r>
    </w:p>
    <w:p>
      <w:pPr>
        <w:spacing w:after="0" w:line="196"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28575</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8"/>
                <w:szCs w:val="18"/>
                <w:color w:val="auto"/>
              </w:rPr>
            </w:pPr>
          </w:p>
        </w:tc>
        <w:tc>
          <w:tcPr>
            <w:tcW w:w="174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jc w:val="right"/>
              <w:ind w:right="85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92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DCE2EF"/>
          </w:tcPr>
          <w:p>
            <w:pPr>
              <w:spacing w:after="0"/>
              <w:rPr>
                <w:sz w:val="21"/>
                <w:szCs w:val="21"/>
                <w:color w:val="auto"/>
              </w:rPr>
            </w:pPr>
          </w:p>
        </w:tc>
        <w:tc>
          <w:tcPr>
            <w:tcW w:w="66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Business &amp; Industry</w:t>
            </w:r>
          </w:p>
        </w:tc>
        <w:tc>
          <w:tcPr>
            <w:tcW w:w="540" w:type="dxa"/>
            <w:vAlign w:val="bottom"/>
            <w:shd w:val="clear" w:color="auto" w:fill="DCE2EF"/>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DCE2EF"/>
          </w:tcPr>
          <w:p>
            <w:pPr>
              <w:spacing w:after="0"/>
              <w:rPr>
                <w:sz w:val="21"/>
                <w:szCs w:val="21"/>
                <w:color w:val="auto"/>
              </w:rPr>
            </w:pPr>
          </w:p>
        </w:tc>
        <w:tc>
          <w:tcPr>
            <w:tcW w:w="54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63.0</w:t>
            </w:r>
          </w:p>
        </w:tc>
      </w:tr>
      <w:tr>
        <w:trPr>
          <w:trHeight w:val="263"/>
        </w:trPr>
        <w:tc>
          <w:tcPr>
            <w:tcW w:w="40" w:type="dxa"/>
            <w:vAlign w:val="bottom"/>
          </w:tcPr>
          <w:p>
            <w:pPr>
              <w:spacing w:after="0"/>
              <w:rPr>
                <w:sz w:val="22"/>
                <w:szCs w:val="22"/>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Aviation</w:t>
            </w:r>
          </w:p>
        </w:tc>
        <w:tc>
          <w:tcPr>
            <w:tcW w:w="54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0"/>
        </w:trPr>
        <w:tc>
          <w:tcPr>
            <w:tcW w:w="40" w:type="dxa"/>
            <w:vAlign w:val="bottom"/>
            <w:shd w:val="clear" w:color="auto" w:fill="DCE2EF"/>
          </w:tcPr>
          <w:p>
            <w:pPr>
              <w:spacing w:after="0"/>
              <w:rPr>
                <w:sz w:val="23"/>
                <w:szCs w:val="23"/>
                <w:color w:val="auto"/>
              </w:rPr>
            </w:pPr>
          </w:p>
        </w:tc>
        <w:tc>
          <w:tcPr>
            <w:tcW w:w="66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Healthcare</w:t>
            </w:r>
          </w:p>
        </w:tc>
        <w:tc>
          <w:tcPr>
            <w:tcW w:w="540" w:type="dxa"/>
            <w:vAlign w:val="bottom"/>
            <w:tcBorders>
              <w:bottom w:val="single" w:sz="8" w:color="auto"/>
            </w:tcBorders>
            <w:shd w:val="clear" w:color="auto" w:fill="DCE2EF"/>
          </w:tcPr>
          <w:p>
            <w:pPr>
              <w:spacing w:after="0"/>
              <w:rPr>
                <w:sz w:val="23"/>
                <w:szCs w:val="23"/>
                <w:color w:val="auto"/>
              </w:rPr>
            </w:pPr>
          </w:p>
        </w:tc>
        <w:tc>
          <w:tcPr>
            <w:tcW w:w="17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CE2EF"/>
          </w:tcPr>
          <w:p>
            <w:pPr>
              <w:spacing w:after="0"/>
              <w:rPr>
                <w:sz w:val="23"/>
                <w:szCs w:val="23"/>
                <w:color w:val="auto"/>
              </w:rPr>
            </w:pPr>
          </w:p>
        </w:tc>
        <w:tc>
          <w:tcPr>
            <w:tcW w:w="540" w:type="dxa"/>
            <w:vAlign w:val="bottom"/>
            <w:tcBorders>
              <w:bottom w:val="single" w:sz="8" w:color="auto"/>
            </w:tcBorders>
            <w:shd w:val="clear" w:color="auto" w:fill="DCE2EF"/>
          </w:tcPr>
          <w:p>
            <w:pPr>
              <w:spacing w:after="0"/>
              <w:rPr>
                <w:sz w:val="23"/>
                <w:szCs w:val="23"/>
                <w:color w:val="auto"/>
              </w:rPr>
            </w:pPr>
          </w:p>
        </w:tc>
        <w:tc>
          <w:tcPr>
            <w:tcW w:w="17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4.9</w:t>
            </w:r>
          </w:p>
        </w:tc>
      </w:tr>
      <w:tr>
        <w:trPr>
          <w:trHeight w:val="257"/>
        </w:trPr>
        <w:tc>
          <w:tcPr>
            <w:tcW w:w="40" w:type="dxa"/>
            <w:vAlign w:val="bottom"/>
          </w:tcPr>
          <w:p>
            <w:pPr>
              <w:spacing w:after="0"/>
              <w:rPr>
                <w:sz w:val="22"/>
                <w:szCs w:val="22"/>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Recently Adopted Accounting Standards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significant accounting policies are described in Note 2, “Basis of Presentation and Significant Accounting Policies,” in our Annual Report. There have been no material changes to our significant accounting policies during the three months ended January 31, 2019, other than those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Revenue from Contracts with Customers</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(Topic 606) </w:t>
      </w:r>
      <w:r>
        <w:rPr>
          <w:rFonts w:ascii="Arial" w:cs="Arial" w:eastAsia="Arial" w:hAnsi="Arial"/>
          <w:sz w:val="18"/>
          <w:szCs w:val="18"/>
          <w:color w:val="auto"/>
        </w:rPr>
        <w:t>and subsequently issued several ASUs further updating Topic 606.</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May 2017, the FASB issued ASU 2017-10</w:t>
      </w:r>
      <w:r>
        <w:rPr>
          <w:rFonts w:ascii="Arial" w:cs="Arial" w:eastAsia="Arial" w:hAnsi="Arial"/>
          <w:sz w:val="18"/>
          <w:szCs w:val="18"/>
          <w:i w:val="1"/>
          <w:iCs w:val="1"/>
          <w:color w:val="auto"/>
        </w:rPr>
        <w:t>, Service Concession Arrangements (Topic 853): Determining the 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of the Operation Services</w:t>
      </w:r>
      <w:r>
        <w:rPr>
          <w:rFonts w:ascii="Arial" w:cs="Arial" w:eastAsia="Arial" w:hAnsi="Arial"/>
          <w:sz w:val="18"/>
          <w:szCs w:val="18"/>
          <w:color w:val="auto"/>
        </w:rPr>
        <w:t>, to clarify how operating entities should determine the customer of operation services for transactions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this guidance, which U.S. GAAP did not address prior to this ASU. The amendment eliminates diversity in practice by clarifying that the grantor is the customer of the operation services in all cases for those arrangements. We determined that revenue we generate from service concession arrangements, primarily from certain parking arrangements, will be accounted for under this guidance. We adopted the amendments in this update in conjunction with the adoption of Topic 606, as discussed below.</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Collectively these ASUs introduce a new principles-based framework for revenue recognition and disclosure. The core principle of the standard is when an entity transfers goods or services to customers it will recognize revenue in an amount that reflects the consideration it expects to be entitled to for those goods or services. The standard also expands the required disclosures to include the disaggregation of revenue from contracts with customers into categories that depict how the nature, timing, and uncertainty of revenue and cash flows are affected by economic factors.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adopted Topic 606 and Topic 853 on November 1, 2018 using a modified retrospective approach with a cumulative-effect adjustment to retained earnings as of the beginning of 2019; prior period financial statements are not adjusted. We applied the standards to contracts that had not been completed at November 1, 2018 and did not apply them to contracts that were modified before the beginning of the earliest reporting period presented. See Note 3, “Revenue,” for further details.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0046AD"/>
        </w:rPr>
        <w:t>Other Recently Adopted Accounting Standards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2019, we adopted the following ASUs with no material impact on our consolidated financial statements:</w:t>
      </w:r>
    </w:p>
    <w:p>
      <w:pPr>
        <w:sectPr>
          <w:pgSz w:w="11900" w:h="16838" w:orient="portrait"/>
          <w:cols w:equalWidth="0" w:num="1">
            <w:col w:w="11420"/>
          </w:cols>
          <w:pgMar w:left="240" w:top="522" w:right="239" w:bottom="1440" w:gutter="0" w:footer="0" w:header="0"/>
        </w:sect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1940" w:type="dxa"/>
            <w:vAlign w:val="bottom"/>
            <w:gridSpan w:val="2"/>
          </w:tcPr>
          <w:p>
            <w:pPr>
              <w:ind w:left="720"/>
              <w:spacing w:after="0"/>
              <w:rPr>
                <w:sz w:val="20"/>
                <w:szCs w:val="20"/>
                <w:color w:val="auto"/>
              </w:rPr>
            </w:pPr>
            <w:r>
              <w:rPr>
                <w:rFonts w:ascii="Arial" w:cs="Arial" w:eastAsia="Arial" w:hAnsi="Arial"/>
                <w:sz w:val="18"/>
                <w:szCs w:val="18"/>
                <w:b w:val="1"/>
                <w:bCs w:val="1"/>
                <w:color w:val="auto"/>
              </w:rPr>
              <w:t>ASU</w:t>
            </w:r>
          </w:p>
        </w:tc>
        <w:tc>
          <w:tcPr>
            <w:tcW w:w="4680" w:type="dxa"/>
            <w:vAlign w:val="bottom"/>
          </w:tcPr>
          <w:p>
            <w:pPr>
              <w:ind w:left="2100"/>
              <w:spacing w:after="0"/>
              <w:rPr>
                <w:sz w:val="20"/>
                <w:szCs w:val="20"/>
                <w:color w:val="auto"/>
              </w:rPr>
            </w:pPr>
            <w:r>
              <w:rPr>
                <w:rFonts w:ascii="Arial" w:cs="Arial" w:eastAsia="Arial" w:hAnsi="Arial"/>
                <w:sz w:val="18"/>
                <w:szCs w:val="18"/>
                <w:b w:val="1"/>
                <w:bCs w:val="1"/>
                <w:color w:val="auto"/>
              </w:rPr>
              <w:t>Topic</w:t>
            </w:r>
          </w:p>
        </w:tc>
      </w:tr>
      <w:tr>
        <w:trPr>
          <w:trHeight w:val="243"/>
        </w:trPr>
        <w:tc>
          <w:tcPr>
            <w:tcW w:w="184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w w:val="99"/>
              </w:rPr>
              <w:t>2016-01</w:t>
            </w:r>
          </w:p>
        </w:tc>
        <w:tc>
          <w:tcPr>
            <w:tcW w:w="100" w:type="dxa"/>
            <w:vAlign w:val="bottom"/>
          </w:tcPr>
          <w:p>
            <w:pPr>
              <w:spacing w:after="0"/>
              <w:rPr>
                <w:sz w:val="21"/>
                <w:szCs w:val="21"/>
                <w:color w:val="auto"/>
              </w:rPr>
            </w:pPr>
          </w:p>
        </w:tc>
        <w:tc>
          <w:tcPr>
            <w:tcW w:w="4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Financial Instruments</w:t>
            </w:r>
          </w:p>
        </w:tc>
      </w:tr>
      <w:tr>
        <w:trPr>
          <w:trHeight w:val="242"/>
        </w:trPr>
        <w:tc>
          <w:tcPr>
            <w:tcW w:w="1840" w:type="dxa"/>
            <w:vAlign w:val="bottom"/>
          </w:tcPr>
          <w:p>
            <w:pPr>
              <w:jc w:val="right"/>
              <w:ind w:right="1070"/>
              <w:spacing w:after="0"/>
              <w:rPr>
                <w:sz w:val="20"/>
                <w:szCs w:val="20"/>
                <w:color w:val="auto"/>
              </w:rPr>
            </w:pPr>
            <w:r>
              <w:rPr>
                <w:rFonts w:ascii="Arial" w:cs="Arial" w:eastAsia="Arial" w:hAnsi="Arial"/>
                <w:sz w:val="18"/>
                <w:szCs w:val="18"/>
                <w:color w:val="auto"/>
                <w:w w:val="99"/>
              </w:rPr>
              <w:t>2016-15</w:t>
            </w:r>
          </w:p>
        </w:tc>
        <w:tc>
          <w:tcPr>
            <w:tcW w:w="10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Statement of Cash Flows — Classification of Certain</w:t>
            </w:r>
          </w:p>
        </w:tc>
      </w:tr>
      <w:tr>
        <w:trPr>
          <w:trHeight w:val="217"/>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Cash Receipts and Cash Payments</w:t>
            </w:r>
          </w:p>
        </w:tc>
      </w:tr>
      <w:tr>
        <w:trPr>
          <w:trHeight w:val="242"/>
        </w:trPr>
        <w:tc>
          <w:tcPr>
            <w:tcW w:w="1840" w:type="dxa"/>
            <w:vAlign w:val="bottom"/>
          </w:tcPr>
          <w:p>
            <w:pPr>
              <w:jc w:val="right"/>
              <w:ind w:right="1070"/>
              <w:spacing w:after="0"/>
              <w:rPr>
                <w:sz w:val="20"/>
                <w:szCs w:val="20"/>
                <w:color w:val="auto"/>
              </w:rPr>
            </w:pPr>
            <w:r>
              <w:rPr>
                <w:rFonts w:ascii="Arial" w:cs="Arial" w:eastAsia="Arial" w:hAnsi="Arial"/>
                <w:sz w:val="18"/>
                <w:szCs w:val="18"/>
                <w:color w:val="auto"/>
                <w:w w:val="99"/>
              </w:rPr>
              <w:t>2016-16</w:t>
            </w:r>
          </w:p>
        </w:tc>
        <w:tc>
          <w:tcPr>
            <w:tcW w:w="10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Income Taxes — Intra-Entity Transfers of Assets Other</w:t>
            </w:r>
          </w:p>
        </w:tc>
      </w:tr>
      <w:tr>
        <w:trPr>
          <w:trHeight w:val="217"/>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Than Inventory</w:t>
            </w:r>
          </w:p>
        </w:tc>
      </w:tr>
      <w:tr>
        <w:trPr>
          <w:trHeight w:val="257"/>
        </w:trPr>
        <w:tc>
          <w:tcPr>
            <w:tcW w:w="1840" w:type="dxa"/>
            <w:vAlign w:val="bottom"/>
          </w:tcPr>
          <w:p>
            <w:pPr>
              <w:jc w:val="right"/>
              <w:ind w:right="1070"/>
              <w:spacing w:after="0"/>
              <w:rPr>
                <w:sz w:val="20"/>
                <w:szCs w:val="20"/>
                <w:color w:val="auto"/>
              </w:rPr>
            </w:pPr>
            <w:r>
              <w:rPr>
                <w:rFonts w:ascii="Arial" w:cs="Arial" w:eastAsia="Arial" w:hAnsi="Arial"/>
                <w:sz w:val="18"/>
                <w:szCs w:val="18"/>
                <w:color w:val="auto"/>
                <w:w w:val="99"/>
              </w:rPr>
              <w:t>2016-18</w:t>
            </w:r>
          </w:p>
        </w:tc>
        <w:tc>
          <w:tcPr>
            <w:tcW w:w="10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Statement of Cash Flows — Restricted Cash</w:t>
            </w:r>
          </w:p>
        </w:tc>
      </w:tr>
      <w:tr>
        <w:trPr>
          <w:trHeight w:val="270"/>
        </w:trPr>
        <w:tc>
          <w:tcPr>
            <w:tcW w:w="1840" w:type="dxa"/>
            <w:vAlign w:val="bottom"/>
          </w:tcPr>
          <w:p>
            <w:pPr>
              <w:jc w:val="right"/>
              <w:ind w:right="1070"/>
              <w:spacing w:after="0"/>
              <w:rPr>
                <w:sz w:val="20"/>
                <w:szCs w:val="20"/>
                <w:color w:val="auto"/>
              </w:rPr>
            </w:pPr>
            <w:r>
              <w:rPr>
                <w:rFonts w:ascii="Arial" w:cs="Arial" w:eastAsia="Arial" w:hAnsi="Arial"/>
                <w:sz w:val="18"/>
                <w:szCs w:val="18"/>
                <w:color w:val="auto"/>
                <w:w w:val="99"/>
              </w:rPr>
              <w:t>2017-07</w:t>
            </w:r>
          </w:p>
        </w:tc>
        <w:tc>
          <w:tcPr>
            <w:tcW w:w="100" w:type="dxa"/>
            <w:vAlign w:val="bottom"/>
          </w:tcPr>
          <w:p>
            <w:pPr>
              <w:spacing w:after="0"/>
              <w:rPr>
                <w:sz w:val="23"/>
                <w:szCs w:val="23"/>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Compensation — Retirement Benefits</w:t>
            </w:r>
          </w:p>
        </w:tc>
      </w:tr>
      <w:tr>
        <w:trPr>
          <w:trHeight w:val="270"/>
        </w:trPr>
        <w:tc>
          <w:tcPr>
            <w:tcW w:w="1840" w:type="dxa"/>
            <w:vAlign w:val="bottom"/>
          </w:tcPr>
          <w:p>
            <w:pPr>
              <w:jc w:val="right"/>
              <w:ind w:right="1070"/>
              <w:spacing w:after="0"/>
              <w:rPr>
                <w:sz w:val="20"/>
                <w:szCs w:val="20"/>
                <w:color w:val="auto"/>
              </w:rPr>
            </w:pPr>
            <w:r>
              <w:rPr>
                <w:rFonts w:ascii="Arial" w:cs="Arial" w:eastAsia="Arial" w:hAnsi="Arial"/>
                <w:sz w:val="18"/>
                <w:szCs w:val="18"/>
                <w:color w:val="auto"/>
                <w:w w:val="99"/>
              </w:rPr>
              <w:t>2017-09</w:t>
            </w:r>
          </w:p>
        </w:tc>
        <w:tc>
          <w:tcPr>
            <w:tcW w:w="100" w:type="dxa"/>
            <w:vAlign w:val="bottom"/>
          </w:tcPr>
          <w:p>
            <w:pPr>
              <w:spacing w:after="0"/>
              <w:rPr>
                <w:sz w:val="23"/>
                <w:szCs w:val="23"/>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Compensation — Stock Compensation</w:t>
            </w:r>
          </w:p>
        </w:tc>
      </w:tr>
      <w:tr>
        <w:trPr>
          <w:trHeight w:val="256"/>
        </w:trPr>
        <w:tc>
          <w:tcPr>
            <w:tcW w:w="1840" w:type="dxa"/>
            <w:vAlign w:val="bottom"/>
          </w:tcPr>
          <w:p>
            <w:pPr>
              <w:jc w:val="right"/>
              <w:ind w:right="1070"/>
              <w:spacing w:after="0"/>
              <w:rPr>
                <w:sz w:val="20"/>
                <w:szCs w:val="20"/>
                <w:color w:val="auto"/>
              </w:rPr>
            </w:pPr>
            <w:r>
              <w:rPr>
                <w:rFonts w:ascii="Arial" w:cs="Arial" w:eastAsia="Arial" w:hAnsi="Arial"/>
                <w:sz w:val="18"/>
                <w:szCs w:val="18"/>
                <w:color w:val="auto"/>
                <w:w w:val="99"/>
              </w:rPr>
              <w:t>2018-02</w:t>
            </w:r>
          </w:p>
        </w:tc>
        <w:tc>
          <w:tcPr>
            <w:tcW w:w="10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Income Statement — Reporting Comprehensive Income:</w:t>
            </w:r>
          </w:p>
        </w:tc>
      </w:tr>
      <w:tr>
        <w:trPr>
          <w:trHeight w:val="203"/>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Reclassification of Certain Tax Effects from Accumulated</w:t>
            </w:r>
          </w:p>
        </w:tc>
      </w:tr>
      <w:tr>
        <w:trPr>
          <w:trHeight w:val="217"/>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r>
      <w:tr>
        <w:trPr>
          <w:trHeight w:val="459"/>
        </w:trPr>
        <w:tc>
          <w:tcPr>
            <w:tcW w:w="1840" w:type="dxa"/>
            <w:vAlign w:val="bottom"/>
          </w:tcPr>
          <w:p>
            <w:pPr>
              <w:jc w:val="right"/>
              <w:ind w:right="1070"/>
              <w:spacing w:after="0"/>
              <w:rPr>
                <w:sz w:val="20"/>
                <w:szCs w:val="20"/>
                <w:color w:val="auto"/>
              </w:rPr>
            </w:pPr>
            <w:r>
              <w:rPr>
                <w:rFonts w:ascii="Arial" w:cs="Arial" w:eastAsia="Arial" w:hAnsi="Arial"/>
                <w:sz w:val="18"/>
                <w:szCs w:val="18"/>
                <w:color w:val="auto"/>
                <w:w w:val="99"/>
              </w:rPr>
              <w:t>2018-04</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Investments — Debt Securities</w:t>
            </w: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wp:posOffset>
            </wp:positionV>
            <wp:extent cx="2967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Modified retrospective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Modified retrospective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Prospective</w:t>
      </w:r>
    </w:p>
    <w:p>
      <w:pPr>
        <w:spacing w:after="0" w:line="6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Early adopted; we elected not to reclassify any stranded tax effects of the Tax Cuts and Jobs Act (the “Tax Act”) due to the insignificance of the amount remaining in accumulated other comprehensive income (“AOCI”).</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Adopted in conjunction with ASU 2016-01</w:t>
      </w:r>
    </w:p>
    <w:p>
      <w:pPr>
        <w:spacing w:after="0" w:line="209" w:lineRule="exact"/>
        <w:rPr>
          <w:sz w:val="20"/>
          <w:szCs w:val="20"/>
          <w:color w:val="auto"/>
        </w:rPr>
      </w:pPr>
    </w:p>
    <w:p>
      <w:pPr>
        <w:sectPr>
          <w:pgSz w:w="11900" w:h="16838" w:orient="portrait"/>
          <w:cols w:equalWidth="0" w:num="2">
            <w:col w:w="6640" w:space="120"/>
            <w:col w:w="4660"/>
          </w:cols>
          <w:pgMar w:left="240" w:top="522" w:right="23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Leases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replaces existing lease accounting guidance. The new standard is intended to provide enhanced transparency and comparability by requiring lessees to record right-of-use assets and corresponding lease liabilities on the balance sheet. The new guidance will require us to continue to classify leases as either operating or financing, with classification affecting the pattern of expense recognition in the statement of comprehensive income. The FASB issued several updates to ASU 2016-02, including ASU 2018-10,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and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provides an additional transition method to adopt Topic 842.</w:t>
      </w:r>
    </w:p>
    <w:p>
      <w:pPr>
        <w:spacing w:after="0" w:line="1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established an implementation team to comprehensively evaluate the impact of adopting this guidance, which includes: reviewing our lease portfolio; implementing new system tools to help us meet reporting requirements; and assessing the impact to business processes, internal control over financial reporting, and the related disclosure requirements. While our evaluation is ongoing, we believe the adoption of this standard will have a significant impact on our consolidated balance sheets due to the recognition of right-of-use assets and corresponding lease liabilities. Refer to Note 14, “Commitments and Contingencies,” in our 2018 Annual Report for information about our lease obligations. This standard will become effective for us on November 1, 2019. We plan to adopt using a modified retrospective transition approach for leases that exist in the period of adoption, and therefore we will not restate the prior comparative periods.</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 other recently issued standards are expected to have a significant impact on our fiscal 2020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0046AD"/>
        </w:rPr>
        <w:t>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Impact of Adopting Topic 606 and Topic 853 on the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1, 2018, we recorded a pre-tax increase of $9.1 million to our opening retained earnings as a result of adopting Topic</w:t>
      </w:r>
    </w:p>
    <w:p>
      <w:pPr>
        <w:spacing w:after="0" w:line="9" w:lineRule="exact"/>
        <w:rPr>
          <w:sz w:val="20"/>
          <w:szCs w:val="20"/>
          <w:color w:val="auto"/>
        </w:rPr>
      </w:pPr>
    </w:p>
    <w:p>
      <w:pPr>
        <w:jc w:val="both"/>
        <w:ind w:firstLine="8"/>
        <w:spacing w:after="0" w:line="252" w:lineRule="auto"/>
        <w:tabs>
          <w:tab w:leader="none" w:pos="41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changes primarily related to: (1) the capitalization of certain commission costs that were previously expensed as incurred; (2) the deferral of revenue, and the associated margin, on uninstalled materials associated with certain project type contracts that will now be recognized when installation is substantially complete; and (3) the deferral of initial franchise license fees that were previously recognized when the franchise license term began but will now be recognized over the term of the initial franchise arrangement. Changes to our consolidated balance sheets include the separate presentation of costs incurred in excess of amounts billed, which were previously included in trade accounts receivable, net. Additionally, in accordance with Topic 853, rent expense related to service concession arrangements, which was previously classified as an operating expense, is now classified as a reduction of revenues.</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October</w:t>
            </w:r>
          </w:p>
        </w:tc>
        <w:tc>
          <w:tcPr>
            <w:tcW w:w="2040" w:type="dxa"/>
            <w:vAlign w:val="bottom"/>
            <w:gridSpan w:val="3"/>
          </w:tcPr>
          <w:p>
            <w:pPr>
              <w:ind w:left="100"/>
              <w:spacing w:after="0"/>
              <w:rPr>
                <w:sz w:val="20"/>
                <w:szCs w:val="20"/>
                <w:color w:val="auto"/>
              </w:rPr>
            </w:pPr>
            <w:r>
              <w:rPr>
                <w:rFonts w:ascii="Arial" w:cs="Arial" w:eastAsia="Arial" w:hAnsi="Arial"/>
                <w:sz w:val="18"/>
                <w:szCs w:val="18"/>
                <w:b w:val="1"/>
                <w:bCs w:val="1"/>
                <w:color w:val="auto"/>
              </w:rPr>
              <w:t>Adjustments Due to</w:t>
            </w: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November</w:t>
            </w:r>
          </w:p>
        </w:tc>
      </w:tr>
      <w:tr>
        <w:trPr>
          <w:trHeight w:val="212"/>
        </w:trPr>
        <w:tc>
          <w:tcPr>
            <w:tcW w:w="52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8"/>
                <w:szCs w:val="18"/>
                <w:color w:val="auto"/>
              </w:rPr>
            </w:pPr>
          </w:p>
        </w:tc>
        <w:tc>
          <w:tcPr>
            <w:tcW w:w="1800" w:type="dxa"/>
            <w:vAlign w:val="bottom"/>
          </w:tcPr>
          <w:p>
            <w:pPr>
              <w:jc w:val="right"/>
              <w:ind w:right="530"/>
              <w:spacing w:after="0"/>
              <w:rPr>
                <w:sz w:val="20"/>
                <w:szCs w:val="20"/>
                <w:color w:val="auto"/>
              </w:rPr>
            </w:pPr>
            <w:r>
              <w:rPr>
                <w:rFonts w:ascii="Arial" w:cs="Arial" w:eastAsia="Arial" w:hAnsi="Arial"/>
                <w:sz w:val="18"/>
                <w:szCs w:val="18"/>
                <w:b w:val="1"/>
                <w:bCs w:val="1"/>
                <w:color w:val="auto"/>
              </w:rPr>
              <w:t>31, 2018</w:t>
            </w:r>
          </w:p>
        </w:tc>
        <w:tc>
          <w:tcPr>
            <w:tcW w:w="120" w:type="dxa"/>
            <w:vAlign w:val="bottom"/>
          </w:tcPr>
          <w:p>
            <w:pPr>
              <w:spacing w:after="0"/>
              <w:rPr>
                <w:sz w:val="18"/>
                <w:szCs w:val="18"/>
                <w:color w:val="auto"/>
              </w:rPr>
            </w:pPr>
          </w:p>
        </w:tc>
        <w:tc>
          <w:tcPr>
            <w:tcW w:w="2040" w:type="dxa"/>
            <w:vAlign w:val="bottom"/>
            <w:gridSpan w:val="3"/>
          </w:tcPr>
          <w:p>
            <w:pPr>
              <w:ind w:left="20"/>
              <w:spacing w:after="0"/>
              <w:rPr>
                <w:sz w:val="20"/>
                <w:szCs w:val="20"/>
                <w:color w:val="auto"/>
              </w:rPr>
            </w:pPr>
            <w:r>
              <w:rPr>
                <w:rFonts w:ascii="Arial" w:cs="Arial" w:eastAsia="Arial" w:hAnsi="Arial"/>
                <w:sz w:val="18"/>
                <w:szCs w:val="18"/>
                <w:b w:val="1"/>
                <w:bCs w:val="1"/>
                <w:color w:val="auto"/>
              </w:rPr>
              <w:t>Adoption of Topic 606</w:t>
            </w:r>
          </w:p>
        </w:tc>
        <w:tc>
          <w:tcPr>
            <w:tcW w:w="380" w:type="dxa"/>
            <w:vAlign w:val="bottom"/>
          </w:tcPr>
          <w:p>
            <w:pPr>
              <w:spacing w:after="0"/>
              <w:rPr>
                <w:sz w:val="18"/>
                <w:szCs w:val="18"/>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1, 2018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56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4"/>
        </w:trPr>
        <w:tc>
          <w:tcPr>
            <w:tcW w:w="5280" w:type="dxa"/>
            <w:vAlign w:val="bottom"/>
            <w:gridSpan w:val="3"/>
            <w:shd w:val="clear" w:color="auto" w:fill="DCE2E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CE2EF"/>
          </w:tcPr>
          <w:p>
            <w:pPr>
              <w:spacing w:after="0"/>
              <w:rPr>
                <w:sz w:val="22"/>
                <w:szCs w:val="22"/>
                <w:color w:val="auto"/>
              </w:rPr>
            </w:pPr>
          </w:p>
        </w:tc>
        <w:tc>
          <w:tcPr>
            <w:tcW w:w="18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76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540" w:type="dxa"/>
            <w:vAlign w:val="bottom"/>
            <w:shd w:val="clear" w:color="auto" w:fill="DCE2EF"/>
          </w:tcPr>
          <w:p>
            <w:pPr>
              <w:spacing w:after="0"/>
              <w:rPr>
                <w:sz w:val="22"/>
                <w:szCs w:val="22"/>
                <w:color w:val="auto"/>
              </w:rPr>
            </w:pPr>
          </w:p>
        </w:tc>
      </w:tr>
      <w:tr>
        <w:trPr>
          <w:trHeight w:val="263"/>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7"/>
        </w:trPr>
        <w:tc>
          <w:tcPr>
            <w:tcW w:w="2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Trade accounts receivable, net</w:t>
            </w:r>
          </w:p>
        </w:tc>
        <w:tc>
          <w:tcPr>
            <w:tcW w:w="12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1,014.1</w:t>
            </w:r>
          </w:p>
        </w:tc>
        <w:tc>
          <w:tcPr>
            <w:tcW w:w="120" w:type="dxa"/>
            <w:vAlign w:val="bottom"/>
            <w:shd w:val="clear" w:color="auto" w:fill="DCE2EF"/>
          </w:tcPr>
          <w:p>
            <w:pPr>
              <w:spacing w:after="0"/>
              <w:rPr>
                <w:sz w:val="24"/>
                <w:szCs w:val="24"/>
                <w:color w:val="auto"/>
              </w:rPr>
            </w:pPr>
          </w:p>
        </w:tc>
        <w:tc>
          <w:tcPr>
            <w:tcW w:w="760" w:type="dxa"/>
            <w:vAlign w:val="bottom"/>
            <w:shd w:val="clear" w:color="auto" w:fill="DCE2E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974.0</w:t>
            </w:r>
          </w:p>
        </w:tc>
      </w:tr>
      <w:tr>
        <w:trPr>
          <w:trHeight w:val="263"/>
        </w:trPr>
        <w:tc>
          <w:tcPr>
            <w:tcW w:w="20" w:type="dxa"/>
            <w:vAlign w:val="bottom"/>
          </w:tcPr>
          <w:p>
            <w:pPr>
              <w:spacing w:after="0"/>
              <w:rPr>
                <w:sz w:val="22"/>
                <w:szCs w:val="22"/>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Costs incurred in excess of amounts billed</w:t>
            </w:r>
          </w:p>
        </w:tc>
        <w:tc>
          <w:tcPr>
            <w:tcW w:w="120" w:type="dxa"/>
            <w:vAlign w:val="bottom"/>
          </w:tcPr>
          <w:p>
            <w:pPr>
              <w:spacing w:after="0"/>
              <w:rPr>
                <w:sz w:val="22"/>
                <w:szCs w:val="22"/>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7"/>
        </w:trPr>
        <w:tc>
          <w:tcPr>
            <w:tcW w:w="2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DCE2EF"/>
          </w:tcPr>
          <w:p>
            <w:pPr>
              <w:spacing w:after="0"/>
              <w:rPr>
                <w:sz w:val="24"/>
                <w:szCs w:val="24"/>
                <w:color w:val="auto"/>
              </w:rPr>
            </w:pPr>
          </w:p>
        </w:tc>
        <w:tc>
          <w:tcPr>
            <w:tcW w:w="1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DCE2EF"/>
          </w:tcPr>
          <w:p>
            <w:pPr>
              <w:spacing w:after="0"/>
              <w:rPr>
                <w:sz w:val="24"/>
                <w:szCs w:val="24"/>
                <w:color w:val="auto"/>
              </w:rPr>
            </w:pPr>
          </w:p>
        </w:tc>
        <w:tc>
          <w:tcPr>
            <w:tcW w:w="76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40.6</w:t>
            </w:r>
          </w:p>
        </w:tc>
      </w:tr>
      <w:tr>
        <w:trPr>
          <w:trHeight w:val="263"/>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22"/>
                <w:szCs w:val="22"/>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90"/>
        </w:trPr>
        <w:tc>
          <w:tcPr>
            <w:tcW w:w="2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45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8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76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r>
      <w:tr>
        <w:trPr>
          <w:trHeight w:val="263"/>
        </w:trPr>
        <w:tc>
          <w:tcPr>
            <w:tcW w:w="528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7"/>
        </w:trPr>
        <w:tc>
          <w:tcPr>
            <w:tcW w:w="52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DCE2EF"/>
          </w:tcPr>
          <w:p>
            <w:pPr>
              <w:spacing w:after="0"/>
              <w:rPr>
                <w:sz w:val="24"/>
                <w:szCs w:val="24"/>
                <w:color w:val="auto"/>
              </w:rPr>
            </w:pPr>
          </w:p>
        </w:tc>
        <w:tc>
          <w:tcPr>
            <w:tcW w:w="18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76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158.9</w:t>
            </w:r>
          </w:p>
        </w:tc>
      </w:tr>
      <w:tr>
        <w:trPr>
          <w:trHeight w:val="277"/>
        </w:trPr>
        <w:tc>
          <w:tcPr>
            <w:tcW w:w="52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Deferred income tax liability, net</w:t>
            </w:r>
          </w:p>
        </w:tc>
        <w:tc>
          <w:tcPr>
            <w:tcW w:w="120" w:type="dxa"/>
            <w:vAlign w:val="bottom"/>
            <w:shd w:val="clear" w:color="auto" w:fill="DCE2EF"/>
          </w:tcPr>
          <w:p>
            <w:pPr>
              <w:spacing w:after="0"/>
              <w:rPr>
                <w:sz w:val="24"/>
                <w:szCs w:val="24"/>
                <w:color w:val="auto"/>
              </w:rPr>
            </w:pPr>
          </w:p>
        </w:tc>
        <w:tc>
          <w:tcPr>
            <w:tcW w:w="1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DCE2EF"/>
          </w:tcPr>
          <w:p>
            <w:pPr>
              <w:spacing w:after="0"/>
              <w:rPr>
                <w:sz w:val="24"/>
                <w:szCs w:val="24"/>
                <w:color w:val="auto"/>
              </w:rPr>
            </w:pPr>
          </w:p>
        </w:tc>
        <w:tc>
          <w:tcPr>
            <w:tcW w:w="76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40.3</w:t>
            </w:r>
          </w:p>
        </w:tc>
      </w:tr>
      <w:tr>
        <w:trPr>
          <w:trHeight w:val="257"/>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2"/>
                <w:szCs w:val="22"/>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771.2</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777.6</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adopting Topic 606 on our unaudited consolidated balance sheet as of January 31, 2019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of January 31, 2019</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Under Historical</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2"/>
        </w:trPr>
        <w:tc>
          <w:tcPr>
            <w:tcW w:w="5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Guidance</w:t>
            </w:r>
          </w:p>
        </w:tc>
        <w:tc>
          <w:tcPr>
            <w:tcW w:w="160" w:type="dxa"/>
            <w:vAlign w:val="bottom"/>
          </w:tcPr>
          <w:p>
            <w:pPr>
              <w:spacing w:after="0"/>
              <w:rPr>
                <w:sz w:val="18"/>
                <w:szCs w:val="18"/>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Effect of Adoption</w:t>
            </w:r>
          </w:p>
        </w:tc>
        <w:tc>
          <w:tcPr>
            <w:tcW w:w="280" w:type="dxa"/>
            <w:vAlign w:val="bottom"/>
          </w:tcPr>
          <w:p>
            <w:pPr>
              <w:spacing w:after="0"/>
              <w:rPr>
                <w:sz w:val="18"/>
                <w:szCs w:val="18"/>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As Reported</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6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CE2EF"/>
          </w:tcPr>
          <w:p>
            <w:pPr>
              <w:spacing w:after="0"/>
              <w:rPr>
                <w:sz w:val="22"/>
                <w:szCs w:val="22"/>
                <w:color w:val="auto"/>
              </w:rPr>
            </w:pPr>
          </w:p>
        </w:tc>
        <w:tc>
          <w:tcPr>
            <w:tcW w:w="17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17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80" w:type="dxa"/>
            <w:vAlign w:val="bottom"/>
            <w:shd w:val="clear" w:color="auto" w:fill="DCE2EF"/>
          </w:tcPr>
          <w:p>
            <w:pPr>
              <w:spacing w:after="0"/>
              <w:rPr>
                <w:sz w:val="22"/>
                <w:szCs w:val="22"/>
                <w:color w:val="auto"/>
              </w:rPr>
            </w:pPr>
          </w:p>
        </w:tc>
        <w:tc>
          <w:tcPr>
            <w:tcW w:w="1660" w:type="dxa"/>
            <w:vAlign w:val="bottom"/>
            <w:shd w:val="clear" w:color="auto" w:fill="DCE2EF"/>
          </w:tcPr>
          <w:p>
            <w:pPr>
              <w:spacing w:after="0"/>
              <w:rPr>
                <w:sz w:val="22"/>
                <w:szCs w:val="22"/>
                <w:color w:val="auto"/>
              </w:rPr>
            </w:pP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532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ind w:lef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43.7</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122.7</w:t>
            </w:r>
          </w:p>
        </w:tc>
      </w:tr>
      <w:tr>
        <w:trPr>
          <w:trHeight w:val="290"/>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46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7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spacing w:after="0"/>
              <w:rPr>
                <w:sz w:val="24"/>
                <w:szCs w:val="24"/>
                <w:color w:val="auto"/>
              </w:rPr>
            </w:pP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7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175.7</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Deferred income tax liability, net</w:t>
            </w: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7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29.2</w:t>
            </w:r>
          </w:p>
        </w:tc>
      </w:tr>
      <w:tr>
        <w:trPr>
          <w:trHeight w:val="257"/>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778.6</w:t>
            </w:r>
          </w:p>
        </w:tc>
      </w:tr>
      <w:tr>
        <w:trPr>
          <w:trHeight w:val="905"/>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ind w:right="14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12" w:name="page13"/>
    <w:bookmarkEnd w:id="12"/>
    <w:p>
      <w:pPr>
        <w:jc w:val="both"/>
        <w:ind w:right="20" w:firstLine="648"/>
        <w:spacing w:after="0" w:line="262" w:lineRule="auto"/>
        <w:rPr>
          <w:sz w:val="20"/>
          <w:szCs w:val="20"/>
          <w:color w:val="auto"/>
        </w:rPr>
      </w:pPr>
      <w:r>
        <w:rPr>
          <w:rFonts w:ascii="Arial" w:cs="Arial" w:eastAsia="Arial" w:hAnsi="Arial"/>
          <w:sz w:val="18"/>
          <w:szCs w:val="18"/>
          <w:color w:val="auto"/>
        </w:rPr>
        <w:t>The impacts of adopting Topic 606 and Topic 853 on our unaudited consolidated statements of comprehensive income for the three months ended January 31, 2019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b w:val="1"/>
                <w:bCs w:val="1"/>
                <w:color w:val="auto"/>
                <w:w w:val="99"/>
              </w:rPr>
              <w:t>Three Months Ended January 31, 2019</w:t>
            </w:r>
          </w:p>
        </w:tc>
      </w:tr>
      <w:tr>
        <w:trPr>
          <w:trHeight w:val="207"/>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Under Historical</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2"/>
        </w:trPr>
        <w:tc>
          <w:tcPr>
            <w:tcW w:w="5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Guidance</w:t>
            </w:r>
          </w:p>
        </w:tc>
        <w:tc>
          <w:tcPr>
            <w:tcW w:w="1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Effect of Adoption</w:t>
            </w:r>
          </w:p>
        </w:tc>
        <w:tc>
          <w:tcPr>
            <w:tcW w:w="280" w:type="dxa"/>
            <w:vAlign w:val="bottom"/>
          </w:tcPr>
          <w:p>
            <w:pPr>
              <w:spacing w:after="0"/>
              <w:rPr>
                <w:sz w:val="18"/>
                <w:szCs w:val="18"/>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As Reported</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308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1,617.9</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1,607.9</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1,457.3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1,446.0</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112.7</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7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13.0</w:t>
            </w:r>
          </w:p>
        </w:tc>
      </w:tr>
      <w:tr>
        <w:trPr>
          <w:trHeight w:val="284"/>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0"/>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Net income per common share — Basic</w:t>
            </w: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DCE2EF"/>
          </w:tcPr>
          <w:p>
            <w:pPr>
              <w:spacing w:after="0"/>
              <w:rPr>
                <w:sz w:val="23"/>
                <w:szCs w:val="23"/>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0.20</w:t>
            </w:r>
          </w:p>
        </w:tc>
      </w:tr>
      <w:tr>
        <w:trPr>
          <w:trHeight w:val="257"/>
        </w:trPr>
        <w:tc>
          <w:tcPr>
            <w:tcW w:w="5360" w:type="dxa"/>
            <w:vAlign w:val="bottom"/>
            <w:gridSpan w:val="3"/>
          </w:tcPr>
          <w:p>
            <w:pPr>
              <w:ind w:left="40"/>
              <w:spacing w:after="0"/>
              <w:rPr>
                <w:sz w:val="20"/>
                <w:szCs w:val="20"/>
                <w:color w:val="auto"/>
              </w:rPr>
            </w:pPr>
            <w:r>
              <w:rPr>
                <w:rFonts w:ascii="Arial" w:cs="Arial" w:eastAsia="Arial" w:hAnsi="Arial"/>
                <w:sz w:val="17"/>
                <w:szCs w:val="17"/>
                <w:color w:val="auto"/>
              </w:rPr>
              <w:t>Net income per common share — 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0.19</w:t>
            </w:r>
          </w:p>
        </w:tc>
      </w:tr>
    </w:tbl>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significant impacts on our consolidated statements of cash flows other than offsetting shifts in net cash provided by operating activities between net income and various changes in working capital line items.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Disaggregation of Revenue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generate revenues under several types of contracts, as further explained below. Generally, the type of contract is determined by the nature of the services provided by each of our major service lines throughout our reportable segments; therefore, we disaggregate revenue from contracts with customers into major service lines. We have determined that disaggregating revenue into these categories best depicts how the nature, amount, timing, and uncertainty of revenue and cash flows are affected by economic factors. Our reportable segments are Business &amp; Industry (“B&amp;I”), Aviation, Technology and Manufacturing (“T&amp;M”), Education, Technical Solutions, and Healthcare, as described in Note 11, “Segment Information.”</w:t>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8"/>
          </w:tcPr>
          <w:p>
            <w:pPr>
              <w:ind w:left="80"/>
              <w:spacing w:after="0"/>
              <w:rPr>
                <w:sz w:val="20"/>
                <w:szCs w:val="20"/>
                <w:color w:val="auto"/>
              </w:rPr>
            </w:pPr>
            <w:r>
              <w:rPr>
                <w:rFonts w:ascii="Arial" w:cs="Arial" w:eastAsia="Arial" w:hAnsi="Arial"/>
                <w:sz w:val="15"/>
                <w:szCs w:val="15"/>
                <w:b w:val="1"/>
                <w:bCs w:val="1"/>
                <w:color w:val="auto"/>
              </w:rPr>
              <w:t>Three Months Ended January 31, 2019</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Technical</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920" w:type="dxa"/>
            <w:vAlign w:val="bottom"/>
            <w:gridSpan w:val="2"/>
          </w:tcPr>
          <w:p>
            <w:pPr>
              <w:ind w:left="140"/>
              <w:spacing w:after="0" w:line="170" w:lineRule="exact"/>
              <w:rPr>
                <w:sz w:val="20"/>
                <w:szCs w:val="20"/>
                <w:color w:val="auto"/>
              </w:rPr>
            </w:pPr>
            <w:r>
              <w:rPr>
                <w:rFonts w:ascii="Arial" w:cs="Arial" w:eastAsia="Arial" w:hAnsi="Arial"/>
                <w:sz w:val="15"/>
                <w:szCs w:val="15"/>
                <w:b w:val="1"/>
                <w:bCs w:val="1"/>
                <w:color w:val="auto"/>
              </w:rPr>
              <w:t>B&amp;I</w:t>
            </w:r>
          </w:p>
        </w:tc>
        <w:tc>
          <w:tcPr>
            <w:tcW w:w="160" w:type="dxa"/>
            <w:vAlign w:val="bottom"/>
          </w:tcPr>
          <w:p>
            <w:pPr>
              <w:spacing w:after="0"/>
              <w:rPr>
                <w:sz w:val="14"/>
                <w:szCs w:val="14"/>
                <w:color w:val="auto"/>
              </w:rPr>
            </w:pPr>
          </w:p>
        </w:tc>
        <w:tc>
          <w:tcPr>
            <w:tcW w:w="960" w:type="dxa"/>
            <w:vAlign w:val="bottom"/>
            <w:gridSpan w:val="2"/>
          </w:tcPr>
          <w:p>
            <w:pPr>
              <w:ind w:left="40"/>
              <w:spacing w:after="0" w:line="170" w:lineRule="exact"/>
              <w:rPr>
                <w:sz w:val="20"/>
                <w:szCs w:val="20"/>
                <w:color w:val="auto"/>
              </w:rPr>
            </w:pPr>
            <w:r>
              <w:rPr>
                <w:rFonts w:ascii="Arial" w:cs="Arial" w:eastAsia="Arial" w:hAnsi="Arial"/>
                <w:sz w:val="15"/>
                <w:szCs w:val="15"/>
                <w:b w:val="1"/>
                <w:bCs w:val="1"/>
                <w:color w:val="auto"/>
              </w:rPr>
              <w:t>Aviation</w:t>
            </w:r>
          </w:p>
        </w:tc>
        <w:tc>
          <w:tcPr>
            <w:tcW w:w="200" w:type="dxa"/>
            <w:vAlign w:val="bottom"/>
          </w:tcPr>
          <w:p>
            <w:pPr>
              <w:spacing w:after="0"/>
              <w:rPr>
                <w:sz w:val="14"/>
                <w:szCs w:val="14"/>
                <w:color w:val="auto"/>
              </w:rPr>
            </w:pPr>
          </w:p>
        </w:tc>
        <w:tc>
          <w:tcPr>
            <w:tcW w:w="920" w:type="dxa"/>
            <w:vAlign w:val="bottom"/>
            <w:gridSpan w:val="2"/>
          </w:tcPr>
          <w:p>
            <w:pPr>
              <w:ind w:left="140"/>
              <w:spacing w:after="0" w:line="170" w:lineRule="exact"/>
              <w:rPr>
                <w:sz w:val="20"/>
                <w:szCs w:val="20"/>
                <w:color w:val="auto"/>
              </w:rPr>
            </w:pPr>
            <w:r>
              <w:rPr>
                <w:rFonts w:ascii="Arial" w:cs="Arial" w:eastAsia="Arial" w:hAnsi="Arial"/>
                <w:sz w:val="15"/>
                <w:szCs w:val="15"/>
                <w:b w:val="1"/>
                <w:bCs w:val="1"/>
                <w:color w:val="auto"/>
              </w:rPr>
              <w:t>T&amp;M</w:t>
            </w:r>
          </w:p>
        </w:tc>
        <w:tc>
          <w:tcPr>
            <w:tcW w:w="120" w:type="dxa"/>
            <w:vAlign w:val="bottom"/>
          </w:tcPr>
          <w:p>
            <w:pPr>
              <w:spacing w:after="0"/>
              <w:rPr>
                <w:sz w:val="14"/>
                <w:szCs w:val="14"/>
                <w:color w:val="auto"/>
              </w:rPr>
            </w:pPr>
          </w:p>
        </w:tc>
        <w:tc>
          <w:tcPr>
            <w:tcW w:w="1000" w:type="dxa"/>
            <w:vAlign w:val="bottom"/>
            <w:gridSpan w:val="2"/>
          </w:tcPr>
          <w:p>
            <w:pPr>
              <w:ind w:left="20"/>
              <w:spacing w:after="0" w:line="170" w:lineRule="exact"/>
              <w:rPr>
                <w:sz w:val="20"/>
                <w:szCs w:val="20"/>
                <w:color w:val="auto"/>
              </w:rPr>
            </w:pPr>
            <w:r>
              <w:rPr>
                <w:rFonts w:ascii="Arial" w:cs="Arial" w:eastAsia="Arial" w:hAnsi="Arial"/>
                <w:sz w:val="15"/>
                <w:szCs w:val="15"/>
                <w:b w:val="1"/>
                <w:bCs w:val="1"/>
                <w:color w:val="auto"/>
              </w:rPr>
              <w:t>Education</w:t>
            </w:r>
          </w:p>
        </w:tc>
        <w:tc>
          <w:tcPr>
            <w:tcW w:w="140" w:type="dxa"/>
            <w:vAlign w:val="bottom"/>
          </w:tcPr>
          <w:p>
            <w:pPr>
              <w:spacing w:after="0"/>
              <w:rPr>
                <w:sz w:val="14"/>
                <w:szCs w:val="14"/>
                <w:color w:val="auto"/>
              </w:rPr>
            </w:pPr>
          </w:p>
        </w:tc>
        <w:tc>
          <w:tcPr>
            <w:tcW w:w="980" w:type="dxa"/>
            <w:vAlign w:val="bottom"/>
            <w:gridSpan w:val="2"/>
          </w:tcPr>
          <w:p>
            <w:pPr>
              <w:ind w:left="20"/>
              <w:spacing w:after="0" w:line="170" w:lineRule="exact"/>
              <w:rPr>
                <w:sz w:val="20"/>
                <w:szCs w:val="20"/>
                <w:color w:val="auto"/>
              </w:rPr>
            </w:pPr>
            <w:r>
              <w:rPr>
                <w:rFonts w:ascii="Arial" w:cs="Arial" w:eastAsia="Arial" w:hAnsi="Arial"/>
                <w:sz w:val="15"/>
                <w:szCs w:val="15"/>
                <w:b w:val="1"/>
                <w:bCs w:val="1"/>
                <w:color w:val="auto"/>
              </w:rPr>
              <w:t>Solutions</w:t>
            </w:r>
          </w:p>
        </w:tc>
        <w:tc>
          <w:tcPr>
            <w:tcW w:w="140" w:type="dxa"/>
            <w:vAlign w:val="bottom"/>
          </w:tcPr>
          <w:p>
            <w:pPr>
              <w:spacing w:after="0"/>
              <w:rPr>
                <w:sz w:val="14"/>
                <w:szCs w:val="14"/>
                <w:color w:val="auto"/>
              </w:rPr>
            </w:pPr>
          </w:p>
        </w:tc>
        <w:tc>
          <w:tcPr>
            <w:tcW w:w="1100" w:type="dxa"/>
            <w:vAlign w:val="bottom"/>
            <w:gridSpan w:val="2"/>
          </w:tcPr>
          <w:p>
            <w:pPr>
              <w:ind w:left="40"/>
              <w:spacing w:after="0" w:line="170" w:lineRule="exact"/>
              <w:rPr>
                <w:sz w:val="20"/>
                <w:szCs w:val="20"/>
                <w:color w:val="auto"/>
              </w:rPr>
            </w:pPr>
            <w:r>
              <w:rPr>
                <w:rFonts w:ascii="Arial" w:cs="Arial" w:eastAsia="Arial" w:hAnsi="Arial"/>
                <w:sz w:val="15"/>
                <w:szCs w:val="15"/>
                <w:b w:val="1"/>
                <w:bCs w:val="1"/>
                <w:color w:val="auto"/>
              </w:rPr>
              <w:t>Healthcare</w:t>
            </w:r>
          </w:p>
        </w:tc>
        <w:tc>
          <w:tcPr>
            <w:tcW w:w="220" w:type="dxa"/>
            <w:vAlign w:val="bottom"/>
          </w:tcPr>
          <w:p>
            <w:pPr>
              <w:spacing w:after="0"/>
              <w:rPr>
                <w:sz w:val="14"/>
                <w:szCs w:val="14"/>
                <w:color w:val="auto"/>
              </w:rPr>
            </w:pPr>
          </w:p>
        </w:tc>
        <w:tc>
          <w:tcPr>
            <w:tcW w:w="800" w:type="dxa"/>
            <w:vAlign w:val="bottom"/>
          </w:tcPr>
          <w:p>
            <w:pPr>
              <w:jc w:val="right"/>
              <w:ind w:right="267"/>
              <w:spacing w:after="0" w:line="170"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660" w:type="dxa"/>
            <w:vAlign w:val="bottom"/>
            <w:tcBorders>
              <w:top w:val="single" w:sz="8" w:color="auto"/>
              <w:bottom w:val="single" w:sz="8" w:color="DCE2EF"/>
            </w:tcBorders>
          </w:tcPr>
          <w:p>
            <w:pPr>
              <w:spacing w:after="0" w:line="20" w:lineRule="exact"/>
              <w:rPr>
                <w:sz w:val="1"/>
                <w:szCs w:val="1"/>
                <w:color w:val="auto"/>
              </w:rPr>
            </w:pPr>
          </w:p>
        </w:tc>
        <w:tc>
          <w:tcPr>
            <w:tcW w:w="274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DCE2EF"/>
          </w:tcPr>
          <w:p>
            <w:pPr>
              <w:spacing w:after="0"/>
              <w:rPr>
                <w:sz w:val="22"/>
                <w:szCs w:val="22"/>
                <w:color w:val="auto"/>
              </w:rPr>
            </w:pPr>
          </w:p>
        </w:tc>
        <w:tc>
          <w:tcPr>
            <w:tcW w:w="340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Major Service Line</w:t>
            </w:r>
          </w:p>
        </w:tc>
        <w:tc>
          <w:tcPr>
            <w:tcW w:w="24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9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4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40" w:type="dxa"/>
            <w:vAlign w:val="bottom"/>
            <w:shd w:val="clear" w:color="auto" w:fill="DCE2EF"/>
          </w:tcPr>
          <w:p>
            <w:pPr>
              <w:spacing w:after="0"/>
              <w:rPr>
                <w:sz w:val="22"/>
                <w:szCs w:val="22"/>
                <w:color w:val="auto"/>
              </w:rPr>
            </w:pPr>
          </w:p>
        </w:tc>
        <w:tc>
          <w:tcPr>
            <w:tcW w:w="10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0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00" w:type="dxa"/>
            <w:vAlign w:val="bottom"/>
            <w:gridSpan w:val="2"/>
          </w:tcPr>
          <w:p>
            <w:pPr>
              <w:ind w:left="140"/>
              <w:spacing w:after="0"/>
              <w:rPr>
                <w:sz w:val="20"/>
                <w:szCs w:val="20"/>
                <w:color w:val="auto"/>
              </w:rPr>
            </w:pPr>
            <w:r>
              <w:rPr>
                <w:rFonts w:ascii="Arial" w:cs="Arial" w:eastAsia="Arial" w:hAnsi="Arial"/>
                <w:sz w:val="15"/>
                <w:szCs w:val="15"/>
                <w:color w:val="auto"/>
              </w:rPr>
              <w:t>Janitorial</w:t>
            </w:r>
            <w:r>
              <w:rPr>
                <w:rFonts w:ascii="Arial" w:cs="Arial" w:eastAsia="Arial" w:hAnsi="Arial"/>
                <w:sz w:val="12"/>
                <w:szCs w:val="12"/>
                <w:color w:val="auto"/>
              </w:rPr>
              <w:t>(1)</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67"/>
              <w:spacing w:after="0"/>
              <w:rPr>
                <w:sz w:val="20"/>
                <w:szCs w:val="20"/>
                <w:color w:val="auto"/>
              </w:rPr>
            </w:pPr>
            <w:r>
              <w:rPr>
                <w:rFonts w:ascii="Arial" w:cs="Arial" w:eastAsia="Arial" w:hAnsi="Arial"/>
                <w:sz w:val="15"/>
                <w:szCs w:val="15"/>
                <w:color w:val="auto"/>
              </w:rPr>
              <w:t>549.7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31.1</w:t>
            </w:r>
          </w:p>
        </w:tc>
        <w:tc>
          <w:tcPr>
            <w:tcW w:w="10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187.8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183.3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38.0</w:t>
            </w:r>
          </w:p>
        </w:tc>
        <w:tc>
          <w:tcPr>
            <w:tcW w:w="100" w:type="dxa"/>
            <w:vAlign w:val="bottom"/>
          </w:tcPr>
          <w:p>
            <w:pPr>
              <w:spacing w:after="0"/>
              <w:rPr>
                <w:sz w:val="23"/>
                <w:szCs w:val="23"/>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989.9</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3400" w:type="dxa"/>
            <w:vAlign w:val="bottom"/>
            <w:gridSpan w:val="2"/>
            <w:shd w:val="clear" w:color="auto" w:fill="DCE2EF"/>
          </w:tcPr>
          <w:p>
            <w:pPr>
              <w:ind w:left="140"/>
              <w:spacing w:after="0"/>
              <w:rPr>
                <w:sz w:val="20"/>
                <w:szCs w:val="20"/>
                <w:color w:val="auto"/>
              </w:rPr>
            </w:pPr>
            <w:r>
              <w:rPr>
                <w:rFonts w:ascii="Arial" w:cs="Arial" w:eastAsia="Arial" w:hAnsi="Arial"/>
                <w:sz w:val="15"/>
                <w:szCs w:val="15"/>
                <w:color w:val="auto"/>
              </w:rPr>
              <w:t>Parking</w:t>
            </w:r>
            <w:r>
              <w:rPr>
                <w:rFonts w:ascii="Arial" w:cs="Arial" w:eastAsia="Arial" w:hAnsi="Arial"/>
                <w:sz w:val="12"/>
                <w:szCs w:val="12"/>
                <w:color w:val="auto"/>
              </w:rPr>
              <w:t>(2)</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67"/>
              <w:spacing w:after="0"/>
              <w:rPr>
                <w:sz w:val="20"/>
                <w:szCs w:val="20"/>
                <w:color w:val="auto"/>
              </w:rPr>
            </w:pPr>
            <w:r>
              <w:rPr>
                <w:rFonts w:ascii="Arial" w:cs="Arial" w:eastAsia="Arial" w:hAnsi="Arial"/>
                <w:sz w:val="15"/>
                <w:szCs w:val="15"/>
                <w:color w:val="auto"/>
              </w:rPr>
              <w:t>114.4</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47"/>
              <w:spacing w:after="0"/>
              <w:rPr>
                <w:sz w:val="20"/>
                <w:szCs w:val="20"/>
                <w:color w:val="auto"/>
              </w:rPr>
            </w:pPr>
            <w:r>
              <w:rPr>
                <w:rFonts w:ascii="Arial" w:cs="Arial" w:eastAsia="Arial" w:hAnsi="Arial"/>
                <w:sz w:val="15"/>
                <w:szCs w:val="15"/>
                <w:color w:val="auto"/>
              </w:rPr>
              <w:t>85.8</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47"/>
              <w:spacing w:after="0"/>
              <w:rPr>
                <w:sz w:val="20"/>
                <w:szCs w:val="20"/>
                <w:color w:val="auto"/>
              </w:rPr>
            </w:pPr>
            <w:r>
              <w:rPr>
                <w:rFonts w:ascii="Arial" w:cs="Arial" w:eastAsia="Arial" w:hAnsi="Arial"/>
                <w:sz w:val="15"/>
                <w:szCs w:val="15"/>
                <w:color w:val="auto"/>
              </w:rPr>
              <w:t>7.4</w:t>
            </w:r>
          </w:p>
        </w:tc>
        <w:tc>
          <w:tcPr>
            <w:tcW w:w="1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900" w:type="dxa"/>
            <w:vAlign w:val="bottom"/>
            <w:shd w:val="clear" w:color="auto" w:fill="DCE2EF"/>
          </w:tcPr>
          <w:p>
            <w:pPr>
              <w:jc w:val="right"/>
              <w:ind w:right="47"/>
              <w:spacing w:after="0"/>
              <w:rPr>
                <w:sz w:val="20"/>
                <w:szCs w:val="20"/>
                <w:color w:val="auto"/>
              </w:rPr>
            </w:pPr>
            <w:r>
              <w:rPr>
                <w:rFonts w:ascii="Arial" w:cs="Arial" w:eastAsia="Arial" w:hAnsi="Arial"/>
                <w:sz w:val="15"/>
                <w:szCs w:val="15"/>
                <w:color w:val="auto"/>
              </w:rPr>
              <w:t>0.8</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980" w:type="dxa"/>
            <w:vAlign w:val="bottom"/>
            <w:gridSpan w:val="2"/>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47"/>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47"/>
              <w:spacing w:after="0"/>
              <w:rPr>
                <w:sz w:val="20"/>
                <w:szCs w:val="20"/>
                <w:color w:val="auto"/>
              </w:rPr>
            </w:pPr>
            <w:r>
              <w:rPr>
                <w:rFonts w:ascii="Arial" w:cs="Arial" w:eastAsia="Arial" w:hAnsi="Arial"/>
                <w:sz w:val="15"/>
                <w:szCs w:val="15"/>
                <w:color w:val="auto"/>
              </w:rPr>
              <w:t>222.1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400" w:type="dxa"/>
            <w:vAlign w:val="bottom"/>
            <w:gridSpan w:val="2"/>
          </w:tcPr>
          <w:p>
            <w:pPr>
              <w:ind w:left="140"/>
              <w:spacing w:after="0" w:line="87" w:lineRule="exact"/>
              <w:rPr>
                <w:sz w:val="20"/>
                <w:szCs w:val="20"/>
                <w:color w:val="auto"/>
              </w:rPr>
            </w:pPr>
            <w:r>
              <w:rPr>
                <w:rFonts w:ascii="Arial" w:cs="Arial" w:eastAsia="Arial" w:hAnsi="Arial"/>
                <w:sz w:val="10"/>
                <w:szCs w:val="10"/>
                <w:color w:val="auto"/>
              </w:rPr>
              <w:t>Facility Services</w:t>
            </w:r>
          </w:p>
        </w:tc>
        <w:tc>
          <w:tcPr>
            <w:tcW w:w="240" w:type="dxa"/>
            <w:vAlign w:val="bottom"/>
          </w:tcPr>
          <w:p>
            <w:pPr>
              <w:spacing w:after="0"/>
              <w:rPr>
                <w:sz w:val="7"/>
                <w:szCs w:val="7"/>
                <w:color w:val="auto"/>
              </w:rPr>
            </w:pPr>
          </w:p>
        </w:tc>
        <w:tc>
          <w:tcPr>
            <w:tcW w:w="820" w:type="dxa"/>
            <w:vAlign w:val="bottom"/>
          </w:tcPr>
          <w:p>
            <w:pPr>
              <w:jc w:val="right"/>
              <w:ind w:right="67"/>
              <w:spacing w:after="0" w:line="87" w:lineRule="exact"/>
              <w:rPr>
                <w:sz w:val="20"/>
                <w:szCs w:val="20"/>
                <w:color w:val="auto"/>
              </w:rPr>
            </w:pPr>
            <w:r>
              <w:rPr>
                <w:rFonts w:ascii="Arial" w:cs="Arial" w:eastAsia="Arial" w:hAnsi="Arial"/>
                <w:sz w:val="10"/>
                <w:szCs w:val="10"/>
                <w:color w:val="auto"/>
              </w:rPr>
              <w:t>110.2</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jc w:val="right"/>
              <w:ind w:right="47"/>
              <w:spacing w:after="0" w:line="87" w:lineRule="exact"/>
              <w:rPr>
                <w:sz w:val="20"/>
                <w:szCs w:val="20"/>
                <w:color w:val="auto"/>
              </w:rPr>
            </w:pPr>
            <w:r>
              <w:rPr>
                <w:rFonts w:ascii="Arial" w:cs="Arial" w:eastAsia="Arial" w:hAnsi="Arial"/>
                <w:sz w:val="10"/>
                <w:szCs w:val="10"/>
                <w:color w:val="auto"/>
              </w:rPr>
              <w:t>18.0</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jc w:val="right"/>
              <w:ind w:right="47"/>
              <w:spacing w:after="0" w:line="87" w:lineRule="exact"/>
              <w:rPr>
                <w:sz w:val="20"/>
                <w:szCs w:val="20"/>
                <w:color w:val="auto"/>
              </w:rPr>
            </w:pPr>
            <w:r>
              <w:rPr>
                <w:rFonts w:ascii="Arial" w:cs="Arial" w:eastAsia="Arial" w:hAnsi="Arial"/>
                <w:sz w:val="10"/>
                <w:szCs w:val="10"/>
                <w:color w:val="auto"/>
              </w:rPr>
              <w:t>40.8</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right"/>
              <w:ind w:right="47"/>
              <w:spacing w:after="0" w:line="87" w:lineRule="exact"/>
              <w:rPr>
                <w:sz w:val="20"/>
                <w:szCs w:val="20"/>
                <w:color w:val="auto"/>
              </w:rPr>
            </w:pPr>
            <w:r>
              <w:rPr>
                <w:rFonts w:ascii="Arial" w:cs="Arial" w:eastAsia="Arial" w:hAnsi="Arial"/>
                <w:sz w:val="10"/>
                <w:szCs w:val="10"/>
                <w:color w:val="auto"/>
              </w:rPr>
              <w:t>20.7</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right"/>
              <w:ind w:right="220"/>
              <w:spacing w:after="0" w:line="87"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7"/>
                <w:szCs w:val="7"/>
                <w:color w:val="auto"/>
              </w:rPr>
            </w:pPr>
          </w:p>
        </w:tc>
        <w:tc>
          <w:tcPr>
            <w:tcW w:w="1000" w:type="dxa"/>
            <w:vAlign w:val="bottom"/>
          </w:tcPr>
          <w:p>
            <w:pPr>
              <w:jc w:val="right"/>
              <w:ind w:right="47"/>
              <w:spacing w:after="0" w:line="87" w:lineRule="exact"/>
              <w:rPr>
                <w:sz w:val="20"/>
                <w:szCs w:val="20"/>
                <w:color w:val="auto"/>
              </w:rPr>
            </w:pPr>
            <w:r>
              <w:rPr>
                <w:rFonts w:ascii="Arial" w:cs="Arial" w:eastAsia="Arial" w:hAnsi="Arial"/>
                <w:sz w:val="10"/>
                <w:szCs w:val="10"/>
                <w:color w:val="auto"/>
              </w:rPr>
              <w:t>15.0</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jc w:val="right"/>
              <w:ind w:right="47"/>
              <w:spacing w:after="0" w:line="87" w:lineRule="exact"/>
              <w:rPr>
                <w:sz w:val="20"/>
                <w:szCs w:val="20"/>
                <w:color w:val="auto"/>
              </w:rPr>
            </w:pPr>
            <w:r>
              <w:rPr>
                <w:rFonts w:ascii="Arial" w:cs="Arial" w:eastAsia="Arial" w:hAnsi="Arial"/>
                <w:sz w:val="10"/>
                <w:szCs w:val="10"/>
                <w:color w:val="auto"/>
              </w:rPr>
              <w:t>204.7</w:t>
            </w:r>
          </w:p>
        </w:tc>
        <w:tc>
          <w:tcPr>
            <w:tcW w:w="0" w:type="dxa"/>
            <w:vAlign w:val="bottom"/>
          </w:tcPr>
          <w:p>
            <w:pPr>
              <w:spacing w:after="0"/>
              <w:rPr>
                <w:sz w:val="1"/>
                <w:szCs w:val="1"/>
                <w:color w:val="auto"/>
              </w:rPr>
            </w:pPr>
          </w:p>
        </w:tc>
      </w:tr>
      <w:tr>
        <w:trPr>
          <w:trHeight w:val="153"/>
        </w:trPr>
        <w:tc>
          <w:tcPr>
            <w:tcW w:w="3420" w:type="dxa"/>
            <w:vAlign w:val="bottom"/>
            <w:gridSpan w:val="3"/>
          </w:tcPr>
          <w:p>
            <w:pPr>
              <w:jc w:val="right"/>
              <w:ind w:right="2000"/>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3400" w:type="dxa"/>
            <w:vAlign w:val="bottom"/>
            <w:gridSpan w:val="2"/>
            <w:shd w:val="clear" w:color="auto" w:fill="DCE2EF"/>
          </w:tcPr>
          <w:p>
            <w:pPr>
              <w:ind w:left="140"/>
              <w:spacing w:after="0"/>
              <w:rPr>
                <w:sz w:val="20"/>
                <w:szCs w:val="20"/>
                <w:color w:val="auto"/>
              </w:rPr>
            </w:pPr>
            <w:r>
              <w:rPr>
                <w:rFonts w:ascii="Arial" w:cs="Arial" w:eastAsia="Arial" w:hAnsi="Arial"/>
                <w:sz w:val="15"/>
                <w:szCs w:val="15"/>
                <w:color w:val="auto"/>
              </w:rPr>
              <w:t>Airline Services</w:t>
            </w:r>
            <w:r>
              <w:rPr>
                <w:rFonts w:ascii="Arial" w:cs="Arial" w:eastAsia="Arial" w:hAnsi="Arial"/>
                <w:sz w:val="12"/>
                <w:szCs w:val="12"/>
                <w:color w:val="auto"/>
              </w:rPr>
              <w:t>(4)</w:t>
            </w:r>
          </w:p>
        </w:tc>
        <w:tc>
          <w:tcPr>
            <w:tcW w:w="240" w:type="dxa"/>
            <w:vAlign w:val="bottom"/>
            <w:shd w:val="clear" w:color="auto" w:fill="DCE2EF"/>
          </w:tcPr>
          <w:p>
            <w:pPr>
              <w:spacing w:after="0"/>
              <w:rPr>
                <w:sz w:val="23"/>
                <w:szCs w:val="23"/>
                <w:color w:val="auto"/>
              </w:rPr>
            </w:pPr>
          </w:p>
        </w:tc>
        <w:tc>
          <w:tcPr>
            <w:tcW w:w="820" w:type="dxa"/>
            <w:vAlign w:val="bottom"/>
            <w:shd w:val="clear" w:color="auto" w:fill="DCE2EF"/>
          </w:tcPr>
          <w:p>
            <w:pPr>
              <w:jc w:val="right"/>
              <w:ind w:right="67"/>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860" w:type="dxa"/>
            <w:vAlign w:val="bottom"/>
            <w:shd w:val="clear" w:color="auto" w:fill="DCE2EF"/>
          </w:tcPr>
          <w:p>
            <w:pPr>
              <w:jc w:val="right"/>
              <w:ind w:right="47"/>
              <w:spacing w:after="0"/>
              <w:rPr>
                <w:sz w:val="20"/>
                <w:szCs w:val="20"/>
                <w:color w:val="auto"/>
              </w:rPr>
            </w:pPr>
            <w:r>
              <w:rPr>
                <w:rFonts w:ascii="Arial" w:cs="Arial" w:eastAsia="Arial" w:hAnsi="Arial"/>
                <w:sz w:val="15"/>
                <w:szCs w:val="15"/>
                <w:color w:val="auto"/>
              </w:rPr>
              <w:t>117.5</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DCE2EF"/>
          </w:tcPr>
          <w:p>
            <w:pPr>
              <w:spacing w:after="0"/>
              <w:rPr>
                <w:sz w:val="23"/>
                <w:szCs w:val="23"/>
                <w:color w:val="auto"/>
              </w:rPr>
            </w:pPr>
          </w:p>
        </w:tc>
        <w:tc>
          <w:tcPr>
            <w:tcW w:w="1000" w:type="dxa"/>
            <w:vAlign w:val="bottom"/>
            <w:gridSpan w:val="2"/>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23"/>
                <w:szCs w:val="23"/>
                <w:color w:val="auto"/>
              </w:rPr>
            </w:pPr>
          </w:p>
        </w:tc>
        <w:tc>
          <w:tcPr>
            <w:tcW w:w="980" w:type="dxa"/>
            <w:vAlign w:val="bottom"/>
            <w:gridSpan w:val="2"/>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DCE2EF"/>
          </w:tcPr>
          <w:p>
            <w:pPr>
              <w:spacing w:after="0"/>
              <w:rPr>
                <w:sz w:val="23"/>
                <w:szCs w:val="23"/>
                <w:color w:val="auto"/>
              </w:rPr>
            </w:pPr>
          </w:p>
        </w:tc>
        <w:tc>
          <w:tcPr>
            <w:tcW w:w="1100" w:type="dxa"/>
            <w:vAlign w:val="bottom"/>
            <w:gridSpan w:val="2"/>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DCE2EF"/>
          </w:tcPr>
          <w:p>
            <w:pPr>
              <w:spacing w:after="0"/>
              <w:rPr>
                <w:sz w:val="23"/>
                <w:szCs w:val="23"/>
                <w:color w:val="auto"/>
              </w:rPr>
            </w:pPr>
          </w:p>
        </w:tc>
        <w:tc>
          <w:tcPr>
            <w:tcW w:w="800" w:type="dxa"/>
            <w:vAlign w:val="bottom"/>
            <w:shd w:val="clear" w:color="auto" w:fill="DCE2EF"/>
          </w:tcPr>
          <w:p>
            <w:pPr>
              <w:jc w:val="right"/>
              <w:ind w:right="47"/>
              <w:spacing w:after="0"/>
              <w:rPr>
                <w:sz w:val="20"/>
                <w:szCs w:val="20"/>
                <w:color w:val="auto"/>
              </w:rPr>
            </w:pPr>
            <w:r>
              <w:rPr>
                <w:rFonts w:ascii="Arial" w:cs="Arial" w:eastAsia="Arial" w:hAnsi="Arial"/>
                <w:sz w:val="15"/>
                <w:szCs w:val="15"/>
                <w:color w:val="auto"/>
              </w:rPr>
              <w:t>117.7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00" w:type="dxa"/>
            <w:vAlign w:val="bottom"/>
            <w:gridSpan w:val="2"/>
          </w:tcPr>
          <w:p>
            <w:pPr>
              <w:ind w:left="140"/>
              <w:spacing w:after="0"/>
              <w:rPr>
                <w:sz w:val="20"/>
                <w:szCs w:val="20"/>
                <w:color w:val="auto"/>
              </w:rPr>
            </w:pPr>
            <w:r>
              <w:rPr>
                <w:rFonts w:ascii="Arial" w:cs="Arial" w:eastAsia="Arial" w:hAnsi="Arial"/>
                <w:sz w:val="15"/>
                <w:szCs w:val="15"/>
                <w:color w:val="auto"/>
              </w:rPr>
              <w:t>Building &amp; Energy Solutions</w:t>
            </w:r>
            <w:r>
              <w:rPr>
                <w:rFonts w:ascii="Arial" w:cs="Arial" w:eastAsia="Arial" w:hAnsi="Arial"/>
                <w:sz w:val="12"/>
                <w:szCs w:val="12"/>
                <w:color w:val="auto"/>
              </w:rPr>
              <w:t>(5)</w:t>
            </w:r>
          </w:p>
        </w:tc>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107.9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107.9</w:t>
            </w:r>
          </w:p>
        </w:tc>
        <w:tc>
          <w:tcPr>
            <w:tcW w:w="0" w:type="dxa"/>
            <w:vAlign w:val="bottom"/>
          </w:tcPr>
          <w:p>
            <w:pPr>
              <w:spacing w:after="0"/>
              <w:rPr>
                <w:sz w:val="1"/>
                <w:szCs w:val="1"/>
                <w:color w:val="auto"/>
              </w:rPr>
            </w:pPr>
          </w:p>
        </w:tc>
      </w:tr>
      <w:tr>
        <w:trPr>
          <w:trHeight w:val="241"/>
        </w:trPr>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660" w:type="dxa"/>
            <w:vAlign w:val="bottom"/>
            <w:tcBorders>
              <w:top w:val="single" w:sz="8" w:color="DCE2EF"/>
              <w:bottom w:val="single" w:sz="8" w:color="DCE2EF"/>
            </w:tcBorders>
            <w:shd w:val="clear" w:color="auto" w:fill="DCE2EF"/>
          </w:tcPr>
          <w:p>
            <w:pPr>
              <w:spacing w:after="0"/>
              <w:rPr>
                <w:sz w:val="20"/>
                <w:szCs w:val="20"/>
                <w:color w:val="auto"/>
              </w:rPr>
            </w:pPr>
          </w:p>
        </w:tc>
        <w:tc>
          <w:tcPr>
            <w:tcW w:w="2740" w:type="dxa"/>
            <w:vAlign w:val="bottom"/>
            <w:tcBorders>
              <w:top w:val="single" w:sz="8" w:color="DCE2EF"/>
              <w:bottom w:val="single" w:sz="8" w:color="DCE2EF"/>
            </w:tcBorders>
            <w:shd w:val="clear" w:color="auto" w:fill="DCE2EF"/>
          </w:tcPr>
          <w:p>
            <w:pPr>
              <w:spacing w:after="0"/>
              <w:rPr>
                <w:sz w:val="20"/>
                <w:szCs w:val="20"/>
                <w:color w:val="auto"/>
              </w:rPr>
            </w:pPr>
          </w:p>
        </w:tc>
        <w:tc>
          <w:tcPr>
            <w:tcW w:w="240" w:type="dxa"/>
            <w:vAlign w:val="bottom"/>
            <w:tcBorders>
              <w:top w:val="single" w:sz="8" w:color="auto"/>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top w:val="single" w:sz="8" w:color="auto"/>
              <w:bottom w:val="single" w:sz="8" w:color="auto"/>
            </w:tcBorders>
            <w:shd w:val="clear" w:color="auto" w:fill="DCE2EF"/>
          </w:tcPr>
          <w:p>
            <w:pPr>
              <w:jc w:val="right"/>
              <w:ind w:right="67"/>
              <w:spacing w:after="0"/>
              <w:rPr>
                <w:sz w:val="20"/>
                <w:szCs w:val="20"/>
                <w:color w:val="auto"/>
              </w:rPr>
            </w:pPr>
            <w:r>
              <w:rPr>
                <w:rFonts w:ascii="Arial" w:cs="Arial" w:eastAsia="Arial" w:hAnsi="Arial"/>
                <w:sz w:val="15"/>
                <w:szCs w:val="15"/>
                <w:b w:val="1"/>
                <w:bCs w:val="1"/>
                <w:color w:val="auto"/>
              </w:rPr>
              <w:t>774.5</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top w:val="single" w:sz="8" w:color="auto"/>
              <w:bottom w:val="single" w:sz="8" w:color="auto"/>
            </w:tcBorders>
            <w:shd w:val="clear" w:color="auto" w:fill="DCE2EF"/>
          </w:tcPr>
          <w:p>
            <w:pPr>
              <w:jc w:val="right"/>
              <w:ind w:right="47"/>
              <w:spacing w:after="0"/>
              <w:rPr>
                <w:sz w:val="20"/>
                <w:szCs w:val="20"/>
                <w:color w:val="auto"/>
              </w:rPr>
            </w:pPr>
            <w:r>
              <w:rPr>
                <w:rFonts w:ascii="Arial" w:cs="Arial" w:eastAsia="Arial" w:hAnsi="Arial"/>
                <w:sz w:val="15"/>
                <w:szCs w:val="15"/>
                <w:b w:val="1"/>
                <w:bCs w:val="1"/>
                <w:color w:val="auto"/>
              </w:rPr>
              <w:t>252.4</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00" w:type="dxa"/>
            <w:vAlign w:val="bottom"/>
            <w:tcBorders>
              <w:top w:val="single" w:sz="8" w:color="auto"/>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top w:val="single" w:sz="8" w:color="auto"/>
              <w:bottom w:val="single" w:sz="8" w:color="auto"/>
            </w:tcBorders>
            <w:shd w:val="clear" w:color="auto" w:fill="DCE2EF"/>
          </w:tcPr>
          <w:p>
            <w:pPr>
              <w:jc w:val="right"/>
              <w:ind w:right="47"/>
              <w:spacing w:after="0"/>
              <w:rPr>
                <w:sz w:val="20"/>
                <w:szCs w:val="20"/>
                <w:color w:val="auto"/>
              </w:rPr>
            </w:pPr>
            <w:r>
              <w:rPr>
                <w:rFonts w:ascii="Arial" w:cs="Arial" w:eastAsia="Arial" w:hAnsi="Arial"/>
                <w:sz w:val="15"/>
                <w:szCs w:val="15"/>
                <w:b w:val="1"/>
                <w:bCs w:val="1"/>
                <w:color w:val="auto"/>
              </w:rPr>
              <w:t>236.1</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shd w:val="clear" w:color="auto" w:fill="DCE2EF"/>
          </w:tcPr>
          <w:p>
            <w:pPr>
              <w:jc w:val="right"/>
              <w:ind w:right="47"/>
              <w:spacing w:after="0"/>
              <w:rPr>
                <w:sz w:val="20"/>
                <w:szCs w:val="20"/>
                <w:color w:val="auto"/>
              </w:rPr>
            </w:pPr>
            <w:r>
              <w:rPr>
                <w:rFonts w:ascii="Arial" w:cs="Arial" w:eastAsia="Arial" w:hAnsi="Arial"/>
                <w:sz w:val="15"/>
                <w:szCs w:val="15"/>
                <w:b w:val="1"/>
                <w:bCs w:val="1"/>
                <w:color w:val="auto"/>
              </w:rPr>
              <w:t>204.7</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auto"/>
              <w:bottom w:val="single" w:sz="8" w:color="auto"/>
            </w:tcBorders>
            <w:shd w:val="clear" w:color="auto" w:fill="DCE2EF"/>
          </w:tcPr>
          <w:p>
            <w:pPr>
              <w:jc w:val="right"/>
              <w:ind w:right="47"/>
              <w:spacing w:after="0"/>
              <w:rPr>
                <w:sz w:val="20"/>
                <w:szCs w:val="20"/>
                <w:color w:val="auto"/>
              </w:rPr>
            </w:pPr>
            <w:r>
              <w:rPr>
                <w:rFonts w:ascii="Arial" w:cs="Arial" w:eastAsia="Arial" w:hAnsi="Arial"/>
                <w:sz w:val="15"/>
                <w:szCs w:val="15"/>
                <w:b w:val="1"/>
                <w:bCs w:val="1"/>
                <w:color w:val="auto"/>
              </w:rPr>
              <w:t>107.9</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bottom w:val="single" w:sz="8" w:color="auto"/>
            </w:tcBorders>
            <w:shd w:val="clear" w:color="auto" w:fill="DCE2EF"/>
          </w:tcPr>
          <w:p>
            <w:pPr>
              <w:jc w:val="right"/>
              <w:ind w:right="47"/>
              <w:spacing w:after="0"/>
              <w:rPr>
                <w:sz w:val="20"/>
                <w:szCs w:val="20"/>
                <w:color w:val="auto"/>
              </w:rPr>
            </w:pPr>
            <w:r>
              <w:rPr>
                <w:rFonts w:ascii="Arial" w:cs="Arial" w:eastAsia="Arial" w:hAnsi="Arial"/>
                <w:sz w:val="15"/>
                <w:szCs w:val="15"/>
                <w:b w:val="1"/>
                <w:bCs w:val="1"/>
                <w:color w:val="auto"/>
              </w:rPr>
              <w:t>66.7</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20" w:type="dxa"/>
            <w:vAlign w:val="bottom"/>
            <w:tcBorders>
              <w:top w:val="single" w:sz="8" w:color="auto"/>
              <w:bottom w:val="single" w:sz="8" w:color="DCE2EF"/>
            </w:tcBorders>
            <w:shd w:val="clear" w:color="auto" w:fill="DCE2EF"/>
          </w:tcPr>
          <w:p>
            <w:pPr>
              <w:jc w:val="right"/>
              <w:ind w:right="23"/>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DCE2EF"/>
            </w:tcBorders>
            <w:shd w:val="clear" w:color="auto" w:fill="DCE2EF"/>
          </w:tcPr>
          <w:p>
            <w:pPr>
              <w:jc w:val="right"/>
              <w:ind w:right="47"/>
              <w:spacing w:after="0"/>
              <w:rPr>
                <w:sz w:val="20"/>
                <w:szCs w:val="20"/>
                <w:color w:val="auto"/>
              </w:rPr>
            </w:pPr>
            <w:r>
              <w:rPr>
                <w:rFonts w:ascii="Arial" w:cs="Arial" w:eastAsia="Arial" w:hAnsi="Arial"/>
                <w:sz w:val="15"/>
                <w:szCs w:val="15"/>
                <w:b w:val="1"/>
                <w:bCs w:val="1"/>
                <w:color w:val="auto"/>
              </w:rPr>
              <w:t>1,642.3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vMerge w:val="restart"/>
          </w:tcPr>
          <w:p>
            <w:pPr>
              <w:spacing w:after="0"/>
              <w:rPr>
                <w:sz w:val="20"/>
                <w:szCs w:val="20"/>
                <w:color w:val="auto"/>
              </w:rPr>
            </w:pPr>
            <w:r>
              <w:rPr>
                <w:rFonts w:ascii="Arial" w:cs="Arial" w:eastAsia="Arial" w:hAnsi="Arial"/>
                <w:sz w:val="15"/>
                <w:szCs w:val="15"/>
                <w:color w:val="auto"/>
              </w:rPr>
              <w:t>Elimination of inter-segment revenues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(34.4)</w:t>
            </w:r>
          </w:p>
        </w:tc>
        <w:tc>
          <w:tcPr>
            <w:tcW w:w="0" w:type="dxa"/>
            <w:vAlign w:val="bottom"/>
          </w:tcPr>
          <w:p>
            <w:pPr>
              <w:spacing w:after="0" w:line="20" w:lineRule="exact"/>
              <w:rPr>
                <w:sz w:val="1"/>
                <w:szCs w:val="1"/>
                <w:color w:val="auto"/>
              </w:rPr>
            </w:pPr>
          </w:p>
        </w:tc>
      </w:tr>
      <w:tr>
        <w:trPr>
          <w:trHeight w:val="247"/>
        </w:trPr>
        <w:tc>
          <w:tcPr>
            <w:tcW w:w="20" w:type="dxa"/>
            <w:vAlign w:val="bottom"/>
            <w:tcBorders>
              <w:bottom w:val="single" w:sz="8" w:color="DCE2EF"/>
            </w:tcBorders>
          </w:tcPr>
          <w:p>
            <w:pPr>
              <w:spacing w:after="0"/>
              <w:rPr>
                <w:sz w:val="21"/>
                <w:szCs w:val="21"/>
                <w:color w:val="auto"/>
              </w:rPr>
            </w:pPr>
          </w:p>
        </w:tc>
        <w:tc>
          <w:tcPr>
            <w:tcW w:w="3400" w:type="dxa"/>
            <w:vAlign w:val="bottom"/>
            <w:tcBorders>
              <w:bottom w:val="single" w:sz="8" w:color="DCE2EF"/>
            </w:tcBorders>
            <w:gridSpan w:val="2"/>
            <w:vMerge w:val="continue"/>
          </w:tcPr>
          <w:p>
            <w:pPr>
              <w:spacing w:after="0"/>
              <w:rPr>
                <w:sz w:val="21"/>
                <w:szCs w:val="21"/>
                <w:color w:val="auto"/>
              </w:rPr>
            </w:pPr>
          </w:p>
        </w:tc>
        <w:tc>
          <w:tcPr>
            <w:tcW w:w="240" w:type="dxa"/>
            <w:vAlign w:val="bottom"/>
            <w:tcBorders>
              <w:bottom w:val="single" w:sz="8" w:color="DCE2EF"/>
            </w:tcBorders>
          </w:tcPr>
          <w:p>
            <w:pPr>
              <w:spacing w:after="0"/>
              <w:rPr>
                <w:sz w:val="21"/>
                <w:szCs w:val="21"/>
                <w:color w:val="auto"/>
              </w:rPr>
            </w:pPr>
          </w:p>
        </w:tc>
        <w:tc>
          <w:tcPr>
            <w:tcW w:w="82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60" w:type="dxa"/>
            <w:vAlign w:val="bottom"/>
            <w:tcBorders>
              <w:bottom w:val="single" w:sz="8" w:color="DCE2EF"/>
            </w:tcBorders>
          </w:tcPr>
          <w:p>
            <w:pPr>
              <w:spacing w:after="0"/>
              <w:rPr>
                <w:sz w:val="21"/>
                <w:szCs w:val="21"/>
                <w:color w:val="auto"/>
              </w:rPr>
            </w:pPr>
          </w:p>
        </w:tc>
        <w:tc>
          <w:tcPr>
            <w:tcW w:w="86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200" w:type="dxa"/>
            <w:vAlign w:val="bottom"/>
            <w:tcBorders>
              <w:bottom w:val="single" w:sz="8" w:color="DCE2EF"/>
            </w:tcBorders>
          </w:tcPr>
          <w:p>
            <w:pPr>
              <w:spacing w:after="0"/>
              <w:rPr>
                <w:sz w:val="21"/>
                <w:szCs w:val="21"/>
                <w:color w:val="auto"/>
              </w:rPr>
            </w:pPr>
          </w:p>
        </w:tc>
        <w:tc>
          <w:tcPr>
            <w:tcW w:w="82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20" w:type="dxa"/>
            <w:vAlign w:val="bottom"/>
            <w:tcBorders>
              <w:bottom w:val="single" w:sz="8" w:color="DCE2EF"/>
            </w:tcBorders>
          </w:tcPr>
          <w:p>
            <w:pPr>
              <w:spacing w:after="0"/>
              <w:rPr>
                <w:sz w:val="21"/>
                <w:szCs w:val="21"/>
                <w:color w:val="auto"/>
              </w:rPr>
            </w:pPr>
          </w:p>
        </w:tc>
        <w:tc>
          <w:tcPr>
            <w:tcW w:w="90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40" w:type="dxa"/>
            <w:vAlign w:val="bottom"/>
            <w:tcBorders>
              <w:bottom w:val="single" w:sz="8" w:color="DCE2EF"/>
            </w:tcBorders>
          </w:tcPr>
          <w:p>
            <w:pPr>
              <w:spacing w:after="0"/>
              <w:rPr>
                <w:sz w:val="21"/>
                <w:szCs w:val="21"/>
                <w:color w:val="auto"/>
              </w:rPr>
            </w:pPr>
          </w:p>
        </w:tc>
        <w:tc>
          <w:tcPr>
            <w:tcW w:w="88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140" w:type="dxa"/>
            <w:vAlign w:val="bottom"/>
            <w:tcBorders>
              <w:bottom w:val="single" w:sz="8" w:color="DCE2EF"/>
            </w:tcBorders>
          </w:tcPr>
          <w:p>
            <w:pPr>
              <w:spacing w:after="0"/>
              <w:rPr>
                <w:sz w:val="21"/>
                <w:szCs w:val="21"/>
                <w:color w:val="auto"/>
              </w:rPr>
            </w:pPr>
          </w:p>
        </w:tc>
        <w:tc>
          <w:tcPr>
            <w:tcW w:w="1000" w:type="dxa"/>
            <w:vAlign w:val="bottom"/>
            <w:tcBorders>
              <w:bottom w:val="single" w:sz="8" w:color="DCE2EF"/>
            </w:tcBorders>
          </w:tcPr>
          <w:p>
            <w:pPr>
              <w:spacing w:after="0"/>
              <w:rPr>
                <w:sz w:val="21"/>
                <w:szCs w:val="21"/>
                <w:color w:val="auto"/>
              </w:rPr>
            </w:pPr>
          </w:p>
        </w:tc>
        <w:tc>
          <w:tcPr>
            <w:tcW w:w="100" w:type="dxa"/>
            <w:vAlign w:val="bottom"/>
            <w:tcBorders>
              <w:bottom w:val="single" w:sz="8" w:color="DCE2E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DCE2EF"/>
            </w:tcBorders>
            <w:shd w:val="clear" w:color="auto" w:fill="DCE2EF"/>
          </w:tcPr>
          <w:p>
            <w:pPr>
              <w:spacing w:after="0"/>
              <w:rPr>
                <w:sz w:val="20"/>
                <w:szCs w:val="20"/>
                <w:color w:val="auto"/>
              </w:rPr>
            </w:pPr>
          </w:p>
        </w:tc>
        <w:tc>
          <w:tcPr>
            <w:tcW w:w="34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5"/>
                <w:szCs w:val="15"/>
                <w:b w:val="1"/>
                <w:bCs w:val="1"/>
                <w:color w:val="auto"/>
              </w:rPr>
              <w:t>Total</w:t>
            </w:r>
          </w:p>
        </w:tc>
        <w:tc>
          <w:tcPr>
            <w:tcW w:w="2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DCE2EF"/>
            </w:tcBorders>
            <w:shd w:val="clear" w:color="auto" w:fill="DCE2EF"/>
          </w:tcPr>
          <w:p>
            <w:pPr>
              <w:spacing w:after="0"/>
              <w:rPr>
                <w:sz w:val="20"/>
                <w:szCs w:val="20"/>
                <w:color w:val="auto"/>
              </w:rPr>
            </w:pPr>
          </w:p>
        </w:tc>
        <w:tc>
          <w:tcPr>
            <w:tcW w:w="86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8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100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DCE2EF"/>
          </w:tcPr>
          <w:p>
            <w:pPr>
              <w:jc w:val="right"/>
              <w:ind w:right="47"/>
              <w:spacing w:after="0"/>
              <w:rPr>
                <w:sz w:val="20"/>
                <w:szCs w:val="20"/>
                <w:color w:val="auto"/>
              </w:rPr>
            </w:pPr>
            <w:r>
              <w:rPr>
                <w:rFonts w:ascii="Arial" w:cs="Arial" w:eastAsia="Arial" w:hAnsi="Arial"/>
                <w:sz w:val="15"/>
                <w:szCs w:val="15"/>
                <w:b w:val="1"/>
                <w:bCs w:val="1"/>
                <w:color w:val="auto"/>
              </w:rPr>
              <w:t>1,607.9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firstLine="8"/>
        <w:spacing w:after="0" w:line="210" w:lineRule="auto"/>
        <w:tabs>
          <w:tab w:leader="none" w:pos="189"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w:t>
      </w:r>
    </w:p>
    <w:p>
      <w:pPr>
        <w:spacing w:after="0" w:line="157" w:lineRule="exact"/>
        <w:rPr>
          <w:rFonts w:ascii="Arial" w:cs="Arial" w:eastAsia="Arial" w:hAnsi="Arial"/>
          <w:sz w:val="22"/>
          <w:szCs w:val="22"/>
          <w:color w:val="auto"/>
          <w:vertAlign w:val="superscript"/>
        </w:rPr>
      </w:pPr>
    </w:p>
    <w:p>
      <w:pPr>
        <w:jc w:val="both"/>
        <w:ind w:firstLine="8"/>
        <w:spacing w:after="0" w:line="230" w:lineRule="auto"/>
        <w:tabs>
          <w:tab w:leader="none" w:pos="211"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Parking arrangements provide parking and transportation services for clients at various locations, including airports and other transportation centers, commercial office buildings, educational institutions, health facilities, hotels, and stadiums and arenas. Certain of our management reimbursement, leased, and allowance location arrangements are considered service concession agreements and are accounted for under the guidance of Topic 853. For the three months ended January 31, 2019, rent expense related to service concession arrangements, previously recorded within operating expenses, has been recorded as a reduction of the related parking service revenues.</w:t>
      </w:r>
    </w:p>
    <w:p>
      <w:pPr>
        <w:spacing w:after="0" w:line="159" w:lineRule="exact"/>
        <w:rPr>
          <w:rFonts w:ascii="Arial" w:cs="Arial" w:eastAsia="Arial" w:hAnsi="Arial"/>
          <w:sz w:val="22"/>
          <w:szCs w:val="22"/>
          <w:color w:val="auto"/>
          <w:vertAlign w:val="superscript"/>
        </w:rPr>
      </w:pPr>
    </w:p>
    <w:p>
      <w:pPr>
        <w:jc w:val="both"/>
        <w:ind w:firstLine="8"/>
        <w:spacing w:after="0" w:line="221" w:lineRule="auto"/>
        <w:tabs>
          <w:tab w:leader="none" w:pos="204"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6" w:right="239" w:bottom="1440" w:gutter="0" w:footer="0" w:header="0"/>
        </w:sectPr>
      </w:pPr>
    </w:p>
    <w:bookmarkStart w:id="13" w:name="page14"/>
    <w:bookmarkEnd w:id="13"/>
    <w:p>
      <w:pPr>
        <w:ind w:firstLine="8"/>
        <w:spacing w:after="0" w:line="210" w:lineRule="auto"/>
        <w:tabs>
          <w:tab w:leader="none" w:pos="22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Airline Services arrangements support airlines and airports with services ranging from passenger assistance, catering logistics, and airplane cabin maintenance.</w:t>
      </w:r>
    </w:p>
    <w:p>
      <w:pPr>
        <w:spacing w:after="0" w:line="157" w:lineRule="exact"/>
        <w:rPr>
          <w:rFonts w:ascii="Arial" w:cs="Arial" w:eastAsia="Arial" w:hAnsi="Arial"/>
          <w:sz w:val="22"/>
          <w:szCs w:val="22"/>
          <w:color w:val="auto"/>
          <w:vertAlign w:val="superscript"/>
        </w:rPr>
      </w:pPr>
    </w:p>
    <w:p>
      <w:pPr>
        <w:ind w:firstLine="8"/>
        <w:spacing w:after="0" w:line="235" w:lineRule="auto"/>
        <w:tabs>
          <w:tab w:leader="none" w:pos="17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Building &amp; Energy Solutions arrangements provide custom energy solutions, electrical, HVAC, lighting, and other general maintenance and repair services for clients in the public and private sectors. We also franchise certain operations under franchise agreements relating to our Linc Network and TEGG brands.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Contracts with Customers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Once a contract is identified, we evaluate whether it is a combined or single contract and whether it should be accounted for as more than one performance obligation. Generally, most of our contracts are cancelable by either party without a substantive penalty and the majority have a notification period of 30 to 60 days. If a contract includes a cancellation clause, the remaining contract term is limited to the required termination notice period.</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contract inception, we assess the services promised to our customers and identify a performance obligation for each promise to transfer to the customer a service, or a bundle of services, that is distinct. To identify the performance obligation, we consider all of our services promised in the contract, regardless of whether they are explicitly stated or are implied by customary business practices.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majority of our contracts contain multiple promises that represent an integrated bundle of services comprised of activities that may vary over time; however, these activities fulfill a single integrated performance obligation since we perform a continuous service that is substantially the same and has the same pattern of transfer to the customer. Our performance obligations are primarily satisfied over time as we provide the related services. We allocate the contract transaction price to this single performance obligation and recognize revenue as the services are performed, as further described in “Contract Types” below.</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Certain arrangements involve variable consideration (primarily per transaction fees, reimbursable expenses, and sales-based royalties). We do not estimate the variable consideration for these arrangements; rather, we recognize these variable fees in the period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typically bill customers on a monthly basis and have the right to consideration from customers in an amount that corresponds directly with the performance obligation satisfied to date. The time between completion of the performance obligation and collection of cash is generally 30 to 60 days. Sales-based taxes are excluded from revenue.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Contracts generally can be modified to account for changes in specifications and requirements. We consider contract modifications to exist when the modification either changes the consideration, creates new performance obligations, or changes the existing scope of the contract and related performance obligations. Historically, contract modifications have been for services that are not distinct from the existing contract, since we are providing a bundle of services that are highly inter-related and are therefore treated as if they were part of that existing contract. Such modifications are generally accounted for prospectively as part of the existing contract.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4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0046AD"/>
        </w:rPr>
        <w:t>Contract Types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arrangements under various contract types within our major service 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Monthly Fixed-Price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Monthly fixed-price arrangements are contracts in which the client agrees to pay a fixed fee every month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Janitorial, Facilities Services, and Airline Services contracts are structured pursuant to this type of arrangement.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Square-Foot</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Monthly square-foot arrangements are contracts in which the client agrees to pay a fixed fee every month based on the actual square footage serviced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Janitorial contracts are structured pursuant to this type of arrangement.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Cost-Plus</w:t>
      </w:r>
    </w:p>
    <w:p>
      <w:pPr>
        <w:spacing w:after="0" w:line="18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Cost-plus arrangements are contracts in which the clients reimburse us for the agreed-upon amount of wages and benefits, payroll taxes, insurance charges, and other expenses associated with the contracted work, plus a profit margin.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Janitorial, Facilities Services, and Airline Services contracts are structured pursuant to this type of arrangement.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Tag Services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Tag work generally consists of supplemental services requested by clients outside of the standard service specification and includes cleanup after tenant moves, construction cleanup, flood cleanup, and snow removal. Because the nature of these short-term contracts involves performing one-off type services, revenue is recognized at the agreed-upon contractual amount over time as the services are provided, because the customer simultaneously receives and consumes the benefits of the services as they are performed. Certain Janitorial and Facilities Services are often structured under to this type of arrangement.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Transaction-Price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Transaction-price contracts are arrangements in which customers are billed a fixed price for each transaction performed on a monthly basis (e.g., wheelchair passengers served, airplane cabins cleaned).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Airline Services contracts are structured under this type of arrangement.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Hourly</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Hourly arrangements are contracts in which the client is billed a fixed hourly rate for each labor hour provided.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Airline Services contracts are structured under this type of arrangement.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0046AD"/>
        </w:rPr>
        <w:t>Management Reimbursement</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management reimbursement arrangements, within our Parking service line, we manage a parking facility for a management fee and pass through the revenue and expenses associated with the facility to the owner. We measure progress toward satisfaction of the performance obligation over time as the services are provided. Under these contracts we recognize both revenues and expenses, in equal amounts, that are directly reimbursed from the property owner for operating expenses, as such expenses are incurred. Such revenues do not include gross customer collections at the managed locations because they belong to the property owners. We have determined we are the principal in these transactions, because the nature of our performance obligation is for us to provide the services on behalf of the customer and we have control of the promised services before they are transferred to the customer.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Leased Location</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leased location parking arrangements, within our Parking service line, we pay a fixed amount of rent, plus a percentage of revenues derived from monthly and transient parkers, to the property owner. We retain all revenues and we are responsible for most operating expenses incurred. We measure progress toward satisfaction of the performance obligation as the services are provided, and revenue is recognized over time because the customer simultaneously receives and consumes the benefits of the services as they are performed.</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described above and in Note 2, “Basis of Presentation and Significant Accounting Policies,” and in accordance with Topic 853, rental expense and certain other expenses under contracts that meet the definition of service concession arrangements are recorded as a reduction of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Allowance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allowance parking arrangements, within our Parking service line, we are paid a fixed amount or hourly rate to provide parking services and we are responsible for certain operating expenses that are specified in the contract. We measure progress toward satisfaction of the performance obligation as the services are provided, and revenue is recognized at the agreed-upon contractual rate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Energy Savings Contracts and Fixed-Price Repair and Refurbishment</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energy savings and fixed -price repair and refurbishment arrangements, within our Building &amp; Energy Solutions service line, we agree to develop, design, engineer, and construct a project. Additionally, as part of bundled energy solutions arrangements, we guarantee the project will satisfy agreed-upon performance standards.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the cost-to-cost method, which compares the actual costs incurred to date with the current estimate of total costs to complete in order to measure the satisfaction of the performance obligation and recognize revenue as work progresses, as we believe this best depicts the transfer of control to the customer, that occurs as we incur costs on our contracts. This measurement and comparison process requires updates to the estimate of total costs to complete the contract, and these updates may include subjective assessments and judgments. Equipment purchased for these projects is project-specific and considered a value-added element to our work. Equipment costs are incurred when title is transferred to us, typically upon delivery to the work site. Revenue for uninstalled equipment is recognized at cost and the associated margin is deferred until installation is substantially complete.</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revenue over time for all of our services as we perform them, because (i) control continuously transfers to the customer as work progresses or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us.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Certain project contracts include a schedule of billings or invoices to the customer based on our job-to-date percentage of completion of specific tasks inherent in the fulfillment of our performance obligation(s) or in accordance with a fixed billing schedule. Fixed billing schedules may not precisely match the actual costs incurred. Therefore, revenue recognized may differ from amounts that can be billed or invoiced to the customer at any point during the contract, resulting in balances that are considered revenue recognized in excess of cumulative billings or cumulative billings in excess of revenue recognized. Advanced payments from our customers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6" w:right="239" w:bottom="1440" w:gutter="0" w:footer="0" w:header="0"/>
        </w:sectPr>
      </w:pPr>
    </w:p>
    <w:bookmarkStart w:id="16" w:name="page17"/>
    <w:bookmarkEnd w:id="16"/>
    <w:p>
      <w:pPr>
        <w:jc w:val="both"/>
        <w:ind w:firstLine="648"/>
        <w:spacing w:after="0" w:line="256" w:lineRule="auto"/>
        <w:rPr>
          <w:sz w:val="20"/>
          <w:szCs w:val="20"/>
          <w:color w:val="auto"/>
        </w:rPr>
      </w:pPr>
      <w:r>
        <w:rPr>
          <w:rFonts w:ascii="Arial" w:cs="Arial" w:eastAsia="Arial" w:hAnsi="Arial"/>
          <w:sz w:val="18"/>
          <w:szCs w:val="18"/>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Franchise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franchise certain engineering services through individual and area franchises under the Linc Service and TEGG brands, which are part of ABM Technical Solutions and are included in our Building &amp; Energy Solutions service line. Initial franchise fees result from the sale of a franchise license and include the use of the name, trademarks, and proprietary methods. The franchise license is considered symbolic intellectual property, and revenue related to the sale of this right is recognized at the agreed-upon contractual amount over the term of the initial franchise agreement.</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Royalty fee revenue consists of sales-based royalties received as part of the consideration for the franchise right, which is calculated as a percentage of the franchisees’ revenue. We recognize royalty fee revenue at the agreed-upon contractual rates over time as the customer revenue is generated by the franchisees. A receivable is recognized for an estimate of the unreported royalty fees, which are reported and remitted to us in arrears.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Remaining Performance Obligations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January 31, 2019, we had $193.0 million related to performance obligations that were unsatisfied or partially unsatisfied for which we expect to recognize revenue. We expect to recognize revenue on approximately 54% of the remaining performance obligations over the next 12 months, with the remaining recognized thereafter.</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amounts exclude variable consideration primarily related to: (1) contracts where we have determined that the contract consists of a series of distinct service periods and revenues are based on future performance that cannot be estimated at contract inception; (2) parking contracts where we and the customer share the gross revenues or operating profit for the location; and (3) contracts where transaction prices include performance incentives that are based on future performance and therefore cannot be estimated at contract inception. We apply the practical expedient that permits exclusion of information about the remaining performance obligations with original expected durations of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Costs to Obtain a Contract With a Customer</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capitalize the incremental costs of obtaining a contract with a customer, primarily commissions, as contract assets and recognize the expense on a straight-line basis over a weighted average expected customer relationship period. Upon adoption of Topic 606 on November 1, 2018, we capitalized $15.1 million of commissions related to contracts that were not completed at that date. Capitalized commissions are classified as current or noncurrent based on the timing of when we expect to recognize the expense.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Contract Balances</w:t>
      </w:r>
    </w:p>
    <w:p>
      <w:pPr>
        <w:spacing w:after="0" w:line="3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as further explained below. The timing of revenue recognition may differ from the timing of invoicing to customers. If a contract includes a cancellation clause that allows for the termination of the contract by either party without a substantive penalty, the contract term is limited to the termination notice period.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Contract assets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44" w:right="239" w:bottom="1440" w:gutter="0" w:footer="0" w:header="0"/>
        </w:sectPr>
      </w:pPr>
    </w:p>
    <w:bookmarkStart w:id="17" w:name="page18"/>
    <w:bookmarkEnd w:id="17"/>
    <w:p>
      <w:pPr>
        <w:ind w:left="620"/>
        <w:spacing w:after="0"/>
        <w:rPr>
          <w:sz w:val="20"/>
          <w:szCs w:val="20"/>
          <w:color w:val="auto"/>
        </w:rPr>
      </w:pPr>
      <w:r>
        <w:rPr>
          <w:rFonts w:ascii="Arial" w:cs="Arial" w:eastAsia="Arial" w:hAnsi="Arial"/>
          <w:sz w:val="18"/>
          <w:szCs w:val="18"/>
          <w:color w:val="auto"/>
        </w:rPr>
        <w:t>The following tables present the balances in our contract assets and contract liabilities: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 2019</w:t>
            </w:r>
          </w:p>
        </w:tc>
        <w:tc>
          <w:tcPr>
            <w:tcW w:w="200" w:type="dxa"/>
            <w:vAlign w:val="bottom"/>
          </w:tcPr>
          <w:p>
            <w:pPr>
              <w:spacing w:after="0"/>
              <w:rPr>
                <w:sz w:val="18"/>
                <w:szCs w:val="18"/>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November 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64"/>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Contract assets</w:t>
            </w: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1860" w:type="dxa"/>
            <w:vAlign w:val="bottom"/>
            <w:shd w:val="clear" w:color="auto" w:fill="DCE2E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Billed trade receivables</w:t>
            </w:r>
            <w:r>
              <w:rPr>
                <w:rFonts w:ascii="Arial" w:cs="Arial" w:eastAsia="Arial" w:hAnsi="Arial"/>
                <w:sz w:val="21"/>
                <w:szCs w:val="2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971.5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918.9</w:t>
            </w:r>
          </w:p>
        </w:tc>
      </w:tr>
      <w:tr>
        <w:trPr>
          <w:trHeight w:val="270"/>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Unbilled trade receivables</w:t>
            </w:r>
            <w:r>
              <w:rPr>
                <w:rFonts w:ascii="Arial" w:cs="Arial" w:eastAsia="Arial" w:hAnsi="Arial"/>
                <w:sz w:val="21"/>
                <w:szCs w:val="21"/>
                <w:color w:val="auto"/>
                <w:vertAlign w:val="superscript"/>
              </w:rPr>
              <w:t>(1)</w:t>
            </w:r>
          </w:p>
        </w:tc>
        <w:tc>
          <w:tcPr>
            <w:tcW w:w="220" w:type="dxa"/>
            <w:vAlign w:val="bottom"/>
            <w:shd w:val="clear" w:color="auto" w:fill="DCE2EF"/>
          </w:tcPr>
          <w:p>
            <w:pPr>
              <w:spacing w:after="0"/>
              <w:rPr>
                <w:sz w:val="23"/>
                <w:szCs w:val="23"/>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74.3</w:t>
            </w:r>
          </w:p>
        </w:tc>
      </w:tr>
      <w:tr>
        <w:trPr>
          <w:trHeight w:val="270"/>
        </w:trPr>
        <w:tc>
          <w:tcPr>
            <w:tcW w:w="40" w:type="dxa"/>
            <w:vAlign w:val="bottom"/>
          </w:tcPr>
          <w:p>
            <w:pPr>
              <w:spacing w:after="0"/>
              <w:rPr>
                <w:sz w:val="23"/>
                <w:szCs w:val="23"/>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Costs incurred in excess of amounts billed</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0"/>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Capitalized commissions</w:t>
            </w:r>
            <w:r>
              <w:rPr>
                <w:rFonts w:ascii="Arial" w:cs="Arial" w:eastAsia="Arial" w:hAnsi="Arial"/>
                <w:sz w:val="21"/>
                <w:szCs w:val="21"/>
                <w:color w:val="auto"/>
                <w:vertAlign w:val="superscript"/>
              </w:rPr>
              <w:t>(3)</w:t>
            </w:r>
          </w:p>
        </w:tc>
        <w:tc>
          <w:tcPr>
            <w:tcW w:w="220" w:type="dxa"/>
            <w:vAlign w:val="bottom"/>
            <w:shd w:val="clear" w:color="auto" w:fill="DCE2EF"/>
          </w:tcPr>
          <w:p>
            <w:pPr>
              <w:spacing w:after="0"/>
              <w:rPr>
                <w:sz w:val="23"/>
                <w:szCs w:val="23"/>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110" w:lineRule="exact"/>
        <w:rPr>
          <w:sz w:val="20"/>
          <w:szCs w:val="20"/>
          <w:color w:val="auto"/>
        </w:rPr>
      </w:pPr>
    </w:p>
    <w:p>
      <w:pPr>
        <w:ind w:firstLine="8"/>
        <w:spacing w:after="0" w:line="263"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Included in trade accounts receivable, net, on the consolidated balance sheets. The fluctuation correlates directly to the execution of new customer contracts and invoicing and collections from customers in the normal course of business.</w:t>
      </w: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Increase is primarily due to the timing of payments on our contracts measured using the cost-to-cost method of revenue recognition.</w:t>
      </w:r>
    </w:p>
    <w:p>
      <w:pPr>
        <w:spacing w:after="0" w:line="48" w:lineRule="exact"/>
        <w:rPr>
          <w:rFonts w:ascii="Arial" w:cs="Arial" w:eastAsia="Arial" w:hAnsi="Arial"/>
          <w:sz w:val="21"/>
          <w:szCs w:val="21"/>
          <w:color w:val="auto"/>
          <w:vertAlign w:val="superscript"/>
        </w:rPr>
      </w:pPr>
    </w:p>
    <w:p>
      <w:pPr>
        <w:jc w:val="both"/>
        <w:ind w:firstLine="8"/>
        <w:spacing w:after="0" w:line="493" w:lineRule="auto"/>
        <w:tabs>
          <w:tab w:leader="none" w:pos="176"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Included in other current assets and other noncurrent assets on the consolidated balance sheets. During the three months ended January 31, 2019, we capitalized $2.1 million of new costs and amortized $1.2 million of previously capitalized costs. There was no impairment loss recorded on the costs capitalized.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r>
      <w:tr>
        <w:trPr>
          <w:trHeight w:val="212"/>
        </w:trPr>
        <w:tc>
          <w:tcPr>
            <w:tcW w:w="9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rPr>
              <w:t>January 31, 2019</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6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64"/>
        </w:trPr>
        <w:tc>
          <w:tcPr>
            <w:tcW w:w="9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Contract liabilities</w:t>
            </w:r>
            <w:r>
              <w:rPr>
                <w:rFonts w:ascii="Arial" w:cs="Arial" w:eastAsia="Arial" w:hAnsi="Arial"/>
                <w:sz w:val="21"/>
                <w:szCs w:val="21"/>
                <w:color w:val="auto"/>
                <w:vertAlign w:val="superscript"/>
              </w:rPr>
              <w:t>(1)</w:t>
            </w:r>
          </w:p>
        </w:tc>
        <w:tc>
          <w:tcPr>
            <w:tcW w:w="120" w:type="dxa"/>
            <w:vAlign w:val="bottom"/>
            <w:shd w:val="clear" w:color="auto" w:fill="DCE2EF"/>
          </w:tcPr>
          <w:p>
            <w:pPr>
              <w:spacing w:after="0"/>
              <w:rPr>
                <w:sz w:val="22"/>
                <w:szCs w:val="22"/>
                <w:color w:val="auto"/>
              </w:rPr>
            </w:pPr>
          </w:p>
        </w:tc>
        <w:tc>
          <w:tcPr>
            <w:tcW w:w="1940" w:type="dxa"/>
            <w:vAlign w:val="bottom"/>
            <w:shd w:val="clear" w:color="auto" w:fill="DCE2E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7"/>
        </w:trPr>
        <w:tc>
          <w:tcPr>
            <w:tcW w:w="40" w:type="dxa"/>
            <w:vAlign w:val="bottom"/>
            <w:shd w:val="clear" w:color="auto" w:fill="DCE2EF"/>
          </w:tcPr>
          <w:p>
            <w:pPr>
              <w:spacing w:after="0"/>
              <w:rPr>
                <w:sz w:val="24"/>
                <w:szCs w:val="24"/>
                <w:color w:val="auto"/>
              </w:rPr>
            </w:pPr>
          </w:p>
        </w:tc>
        <w:tc>
          <w:tcPr>
            <w:tcW w:w="93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Additional contract liabilities</w:t>
            </w:r>
          </w:p>
        </w:tc>
        <w:tc>
          <w:tcPr>
            <w:tcW w:w="120" w:type="dxa"/>
            <w:vAlign w:val="bottom"/>
            <w:shd w:val="clear" w:color="auto" w:fill="DCE2EF"/>
          </w:tcPr>
          <w:p>
            <w:pPr>
              <w:spacing w:after="0"/>
              <w:rPr>
                <w:sz w:val="24"/>
                <w:szCs w:val="24"/>
                <w:color w:val="auto"/>
              </w:rPr>
            </w:pPr>
          </w:p>
        </w:tc>
        <w:tc>
          <w:tcPr>
            <w:tcW w:w="19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92.6</w:t>
            </w:r>
          </w:p>
        </w:tc>
      </w:tr>
      <w:tr>
        <w:trPr>
          <w:trHeight w:val="304"/>
        </w:trPr>
        <w:tc>
          <w:tcPr>
            <w:tcW w:w="40" w:type="dxa"/>
            <w:vAlign w:val="bottom"/>
            <w:tcBorders>
              <w:bottom w:val="single" w:sz="8" w:color="DCE2EF"/>
            </w:tcBorders>
          </w:tcPr>
          <w:p>
            <w:pPr>
              <w:spacing w:after="0"/>
              <w:rPr>
                <w:sz w:val="24"/>
                <w:szCs w:val="24"/>
                <w:color w:val="auto"/>
              </w:rPr>
            </w:pPr>
          </w:p>
        </w:tc>
        <w:tc>
          <w:tcPr>
            <w:tcW w:w="93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Recognition of deferred revenue</w:t>
            </w: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r>
      <w:tr>
        <w:trPr>
          <w:trHeight w:val="284"/>
        </w:trPr>
        <w:tc>
          <w:tcPr>
            <w:tcW w:w="40" w:type="dxa"/>
            <w:vAlign w:val="bottom"/>
            <w:tcBorders>
              <w:bottom w:val="single" w:sz="8" w:color="DCE2EF"/>
            </w:tcBorders>
            <w:shd w:val="clear" w:color="auto" w:fill="DCE2EF"/>
          </w:tcPr>
          <w:p>
            <w:pPr>
              <w:spacing w:after="0"/>
              <w:rPr>
                <w:sz w:val="24"/>
                <w:szCs w:val="24"/>
                <w:color w:val="auto"/>
              </w:rPr>
            </w:pPr>
          </w:p>
        </w:tc>
        <w:tc>
          <w:tcPr>
            <w:tcW w:w="93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42.6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Included in other accrued liabilities on the consolidated balance sheets.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4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46AD"/>
        </w:rPr>
        <w:t>4.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GCA Services Group Restructuring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first quarter of 2018, we initiated a restructuring program to achieve cost synergies following the acquisition of GCA Services Group (“GCA”). We incurred the majority of our anticipated severance expense associated with this restructuring program in the first half of 2018. We expect to incur additional charges related to other project fees as we continue to further integrate and consolidate our operational and financial processes to support the growth and capabilities of our shared services and operations. Additionally, we continue standardizing our financial systems and streamlining our operations by migrating and upgrading several key management platforms, including our human resources information systems, enterprise resource planning system, and labor management system. We also continue consolidating our real estate leases.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Restructuring</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do not expect to incur significant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restructuring and related expenses in the future.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Rollforward of Restructuring and Related Liabilities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499"/>
              <w:spacing w:after="0"/>
              <w:rPr>
                <w:sz w:val="20"/>
                <w:szCs w:val="20"/>
                <w:color w:val="auto"/>
              </w:rPr>
            </w:pPr>
            <w:r>
              <w:rPr>
                <w:rFonts w:ascii="Arial" w:cs="Arial" w:eastAsia="Arial" w:hAnsi="Arial"/>
                <w:sz w:val="16"/>
                <w:szCs w:val="16"/>
                <w:b w:val="1"/>
                <w:bCs w:val="1"/>
                <w:color w:val="auto"/>
              </w:rPr>
              <w:t>Balance,</w:t>
            </w:r>
          </w:p>
        </w:tc>
      </w:tr>
      <w:tr>
        <w:trPr>
          <w:trHeight w:val="194"/>
        </w:trPr>
        <w:tc>
          <w:tcPr>
            <w:tcW w:w="37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October 31, 2018</w:t>
            </w:r>
          </w:p>
        </w:tc>
        <w:tc>
          <w:tcPr>
            <w:tcW w:w="120" w:type="dxa"/>
            <w:vAlign w:val="bottom"/>
          </w:tcPr>
          <w:p>
            <w:pPr>
              <w:spacing w:after="0"/>
              <w:rPr>
                <w:sz w:val="16"/>
                <w:szCs w:val="16"/>
                <w:color w:val="auto"/>
              </w:rPr>
            </w:pPr>
          </w:p>
        </w:tc>
        <w:tc>
          <w:tcPr>
            <w:tcW w:w="1800" w:type="dxa"/>
            <w:vAlign w:val="bottom"/>
            <w:gridSpan w:val="2"/>
          </w:tcPr>
          <w:p>
            <w:pPr>
              <w:ind w:left="20"/>
              <w:spacing w:after="0" w:line="194" w:lineRule="exact"/>
              <w:rPr>
                <w:sz w:val="20"/>
                <w:szCs w:val="20"/>
                <w:color w:val="auto"/>
              </w:rPr>
            </w:pPr>
            <w:r>
              <w:rPr>
                <w:rFonts w:ascii="Arial" w:cs="Arial" w:eastAsia="Arial" w:hAnsi="Arial"/>
                <w:sz w:val="16"/>
                <w:szCs w:val="16"/>
                <w:b w:val="1"/>
                <w:bCs w:val="1"/>
                <w:color w:val="auto"/>
              </w:rPr>
              <w:t>Costs Recognized</w:t>
            </w:r>
            <w:r>
              <w:rPr>
                <w:rFonts w:ascii="Arial" w:cs="Arial" w:eastAsia="Arial" w:hAnsi="Arial"/>
                <w:sz w:val="21"/>
                <w:szCs w:val="21"/>
                <w:b w:val="1"/>
                <w:bCs w:val="1"/>
                <w:color w:val="auto"/>
                <w:vertAlign w:val="superscript"/>
              </w:rPr>
              <w:t>(1)</w:t>
            </w:r>
          </w:p>
        </w:tc>
        <w:tc>
          <w:tcPr>
            <w:tcW w:w="320" w:type="dxa"/>
            <w:vAlign w:val="bottom"/>
          </w:tcPr>
          <w:p>
            <w:pPr>
              <w:spacing w:after="0"/>
              <w:rPr>
                <w:sz w:val="16"/>
                <w:szCs w:val="16"/>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Payments</w:t>
            </w:r>
          </w:p>
        </w:tc>
        <w:tc>
          <w:tcPr>
            <w:tcW w:w="180" w:type="dxa"/>
            <w:vAlign w:val="bottom"/>
          </w:tcPr>
          <w:p>
            <w:pPr>
              <w:spacing w:after="0"/>
              <w:rPr>
                <w:sz w:val="16"/>
                <w:szCs w:val="16"/>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rPr>
              <w:t>January 31, 2019</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04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Employee severance</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DCE2EF"/>
          </w:tcPr>
          <w:p>
            <w:pPr>
              <w:spacing w:after="0"/>
              <w:rPr>
                <w:sz w:val="21"/>
                <w:szCs w:val="21"/>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3.4</w:t>
            </w:r>
          </w:p>
        </w:tc>
      </w:tr>
      <w:tr>
        <w:trPr>
          <w:trHeight w:val="260"/>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Lease exit costs and asset impairment</w:t>
            </w:r>
          </w:p>
        </w:tc>
        <w:tc>
          <w:tcPr>
            <w:tcW w:w="20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273"/>
        </w:trPr>
        <w:tc>
          <w:tcPr>
            <w:tcW w:w="37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project fees</w:t>
            </w:r>
          </w:p>
        </w:tc>
        <w:tc>
          <w:tcPr>
            <w:tcW w:w="200" w:type="dxa"/>
            <w:vAlign w:val="bottom"/>
            <w:tcBorders>
              <w:bottom w:val="single" w:sz="8" w:color="auto"/>
            </w:tcBorders>
            <w:shd w:val="clear" w:color="auto" w:fill="DCE2EF"/>
          </w:tcPr>
          <w:p>
            <w:pPr>
              <w:spacing w:after="0"/>
              <w:rPr>
                <w:sz w:val="23"/>
                <w:szCs w:val="23"/>
                <w:color w:val="auto"/>
              </w:rPr>
            </w:pPr>
          </w:p>
        </w:tc>
        <w:tc>
          <w:tcPr>
            <w:tcW w:w="16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DCE2EF"/>
          </w:tcPr>
          <w:p>
            <w:pPr>
              <w:spacing w:after="0"/>
              <w:rPr>
                <w:sz w:val="23"/>
                <w:szCs w:val="23"/>
                <w:color w:val="auto"/>
              </w:rPr>
            </w:pPr>
          </w:p>
        </w:tc>
        <w:tc>
          <w:tcPr>
            <w:tcW w:w="12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DCE2EF"/>
          </w:tcPr>
          <w:p>
            <w:pPr>
              <w:spacing w:after="0"/>
              <w:rPr>
                <w:sz w:val="23"/>
                <w:szCs w:val="23"/>
                <w:color w:val="auto"/>
              </w:rPr>
            </w:pPr>
          </w:p>
        </w:tc>
        <w:tc>
          <w:tcPr>
            <w:tcW w:w="180" w:type="dxa"/>
            <w:vAlign w:val="bottom"/>
            <w:tcBorders>
              <w:bottom w:val="single" w:sz="8" w:color="auto"/>
            </w:tcBorders>
            <w:shd w:val="clear" w:color="auto" w:fill="DCE2EF"/>
          </w:tcPr>
          <w:p>
            <w:pPr>
              <w:spacing w:after="0"/>
              <w:rPr>
                <w:sz w:val="23"/>
                <w:szCs w:val="23"/>
                <w:color w:val="auto"/>
              </w:rPr>
            </w:pPr>
          </w:p>
        </w:tc>
        <w:tc>
          <w:tcPr>
            <w:tcW w:w="16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40" w:type="dxa"/>
            <w:vAlign w:val="bottom"/>
          </w:tcPr>
          <w:p>
            <w:pPr>
              <w:spacing w:after="0"/>
              <w:rPr>
                <w:sz w:val="20"/>
                <w:szCs w:val="20"/>
                <w:color w:val="auto"/>
              </w:rPr>
            </w:pPr>
          </w:p>
        </w:tc>
        <w:tc>
          <w:tcPr>
            <w:tcW w:w="37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8.6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3810</wp:posOffset>
            </wp:positionV>
            <wp:extent cx="48450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45050" cy="26035"/>
                    </a:xfrm>
                    <a:prstGeom prst="rect">
                      <a:avLst/>
                    </a:prstGeom>
                    <a:noFill/>
                  </pic:spPr>
                </pic:pic>
              </a:graphicData>
            </a:graphic>
          </wp:anchor>
        </w:drawing>
      </w: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We include these costs within corporate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Cumulative Restructuring and Related Charges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External Support</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Employee</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 Project</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26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Fees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Severance</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Fees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Lease Exit Costs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Impairment</w:t>
            </w:r>
          </w:p>
        </w:tc>
        <w:tc>
          <w:tcPr>
            <w:tcW w:w="32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88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6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GCA</w:t>
            </w:r>
          </w:p>
        </w:tc>
        <w:tc>
          <w:tcPr>
            <w:tcW w:w="320" w:type="dxa"/>
            <w:vAlign w:val="bottom"/>
            <w:shd w:val="clear" w:color="auto" w:fill="DCE2EF"/>
          </w:tcPr>
          <w:p>
            <w:pPr>
              <w:ind w:lef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DCE2EF"/>
          </w:tcPr>
          <w:p>
            <w:pPr>
              <w:spacing w:after="0"/>
              <w:rPr>
                <w:sz w:val="20"/>
                <w:szCs w:val="20"/>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DCE2EF"/>
          </w:tcPr>
          <w:p>
            <w:pPr>
              <w:spacing w:after="0"/>
              <w:rPr>
                <w:sz w:val="20"/>
                <w:szCs w:val="20"/>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DCE2EF"/>
          </w:tcPr>
          <w:p>
            <w:pPr>
              <w:spacing w:after="0"/>
              <w:rPr>
                <w:sz w:val="20"/>
                <w:szCs w:val="20"/>
                <w:color w:val="auto"/>
              </w:rPr>
            </w:pPr>
          </w:p>
        </w:tc>
        <w:tc>
          <w:tcPr>
            <w:tcW w:w="580" w:type="dxa"/>
            <w:vAlign w:val="bottom"/>
            <w:shd w:val="clear" w:color="auto" w:fill="DCE2EF"/>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27.1</w:t>
            </w:r>
          </w:p>
        </w:tc>
      </w:tr>
      <w:tr>
        <w:trPr>
          <w:trHeight w:val="237"/>
        </w:trPr>
        <w:tc>
          <w:tcPr>
            <w:tcW w:w="262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FF9900"/>
              </w:rPr>
              <w:t xml:space="preserve">2020 </w:t>
            </w:r>
            <w:r>
              <w:rPr>
                <w:rFonts w:ascii="Arial" w:cs="Arial" w:eastAsia="Arial" w:hAnsi="Arial"/>
                <w:sz w:val="16"/>
                <w:szCs w:val="16"/>
                <w:b w:val="1"/>
                <w:bCs w:val="1"/>
                <w:color w:val="0070C0"/>
              </w:rPr>
              <w:t>Vision</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DCE2E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DCE2E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DCE2E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DCE2E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DCE2E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66.5</w:t>
            </w:r>
          </w:p>
        </w:tc>
      </w:tr>
      <w:tr>
        <w:trPr>
          <w:trHeight w:val="240"/>
        </w:trPr>
        <w:tc>
          <w:tcPr>
            <w:tcW w:w="40" w:type="dxa"/>
            <w:vAlign w:val="bottom"/>
            <w:tcBorders>
              <w:bottom w:val="single" w:sz="8" w:color="DCE2EF"/>
            </w:tcBorders>
            <w:shd w:val="clear" w:color="auto" w:fill="DCE2EF"/>
          </w:tcPr>
          <w:p>
            <w:pPr>
              <w:spacing w:after="0"/>
              <w:rPr>
                <w:sz w:val="20"/>
                <w:szCs w:val="20"/>
                <w:color w:val="auto"/>
              </w:rPr>
            </w:pPr>
          </w:p>
        </w:tc>
        <w:tc>
          <w:tcPr>
            <w:tcW w:w="258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CE2EF"/>
          </w:tcPr>
          <w:p>
            <w:pPr>
              <w:ind w:left="4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32.0</w:t>
            </w:r>
          </w:p>
        </w:tc>
        <w:tc>
          <w:tcPr>
            <w:tcW w:w="10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27.8</w:t>
            </w:r>
          </w:p>
        </w:tc>
        <w:tc>
          <w:tcPr>
            <w:tcW w:w="12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21.0</w:t>
            </w:r>
          </w:p>
        </w:tc>
        <w:tc>
          <w:tcPr>
            <w:tcW w:w="10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auto"/>
            </w:tcBorders>
            <w:shd w:val="clear" w:color="auto" w:fill="DCE2EF"/>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7.7</w:t>
            </w:r>
          </w:p>
        </w:tc>
        <w:tc>
          <w:tcPr>
            <w:tcW w:w="1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5.2</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93.6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0046AD"/>
        </w:rPr>
        <w:t>5.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200" w:lineRule="exact"/>
        <w:rPr>
          <w:sz w:val="20"/>
          <w:szCs w:val="20"/>
          <w:color w:val="auto"/>
        </w:rPr>
      </w:pPr>
    </w:p>
    <w:p>
      <w:pPr>
        <w:spacing w:after="0" w:line="211" w:lineRule="exact"/>
        <w:rPr>
          <w:sz w:val="20"/>
          <w:szCs w:val="20"/>
          <w:color w:val="auto"/>
        </w:rPr>
      </w:pPr>
    </w:p>
    <w:p>
      <w:pPr>
        <w:ind w:left="7980"/>
        <w:spacing w:after="0"/>
        <w:rPr>
          <w:sz w:val="20"/>
          <w:szCs w:val="20"/>
          <w:color w:val="auto"/>
        </w:rPr>
      </w:pPr>
      <w:r>
        <w:rPr>
          <w:rFonts w:ascii="Arial" w:cs="Arial" w:eastAsia="Arial" w:hAnsi="Arial"/>
          <w:sz w:val="17"/>
          <w:szCs w:val="17"/>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29845</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480" w:type="dxa"/>
            <w:vAlign w:val="bottom"/>
          </w:tcPr>
          <w:p>
            <w:pPr>
              <w:spacing w:after="0"/>
              <w:rPr>
                <w:sz w:val="17"/>
                <w:szCs w:val="17"/>
                <w:color w:val="auto"/>
              </w:rPr>
            </w:pPr>
          </w:p>
        </w:tc>
        <w:tc>
          <w:tcPr>
            <w:tcW w:w="1580" w:type="dxa"/>
            <w:vAlign w:val="bottom"/>
          </w:tcPr>
          <w:p>
            <w:pPr>
              <w:jc w:val="right"/>
              <w:ind w:right="75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jc w:val="right"/>
              <w:ind w:right="755"/>
              <w:spacing w:after="0"/>
              <w:rPr>
                <w:sz w:val="20"/>
                <w:szCs w:val="20"/>
                <w:color w:val="auto"/>
              </w:rPr>
            </w:pPr>
            <w:r>
              <w:rPr>
                <w:rFonts w:ascii="Arial" w:cs="Arial" w:eastAsia="Arial" w:hAnsi="Arial"/>
                <w:sz w:val="17"/>
                <w:szCs w:val="17"/>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490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Income from continuing operations</w:t>
            </w:r>
          </w:p>
        </w:tc>
        <w:tc>
          <w:tcPr>
            <w:tcW w:w="480" w:type="dxa"/>
            <w:vAlign w:val="bottom"/>
            <w:shd w:val="clear" w:color="auto" w:fill="DCE2EF"/>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13.0</w:t>
            </w:r>
          </w:p>
        </w:tc>
        <w:tc>
          <w:tcPr>
            <w:tcW w:w="120" w:type="dxa"/>
            <w:vAlign w:val="bottom"/>
            <w:shd w:val="clear" w:color="auto" w:fill="DCE2EF"/>
          </w:tcPr>
          <w:p>
            <w:pPr>
              <w:spacing w:after="0"/>
              <w:rPr>
                <w:sz w:val="21"/>
                <w:szCs w:val="21"/>
                <w:color w:val="auto"/>
              </w:rPr>
            </w:pPr>
          </w:p>
        </w:tc>
        <w:tc>
          <w:tcPr>
            <w:tcW w:w="480" w:type="dxa"/>
            <w:vAlign w:val="bottom"/>
            <w:shd w:val="clear" w:color="auto" w:fill="DCE2EF"/>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28.0</w:t>
            </w:r>
          </w:p>
        </w:tc>
      </w:tr>
      <w:tr>
        <w:trPr>
          <w:trHeight w:val="264"/>
        </w:trPr>
        <w:tc>
          <w:tcPr>
            <w:tcW w:w="7180" w:type="dxa"/>
            <w:vAlign w:val="bottom"/>
            <w:tcBorders>
              <w:bottom w:val="single" w:sz="8" w:color="DCE2EF"/>
            </w:tcBorders>
            <w:gridSpan w:val="3"/>
          </w:tcPr>
          <w:p>
            <w:pPr>
              <w:ind w:left="40"/>
              <w:spacing w:after="0"/>
              <w:rPr>
                <w:sz w:val="20"/>
                <w:szCs w:val="20"/>
                <w:color w:val="auto"/>
              </w:rPr>
            </w:pPr>
            <w:r>
              <w:rPr>
                <w:rFonts w:ascii="Arial" w:cs="Arial" w:eastAsia="Arial" w:hAnsi="Arial"/>
                <w:sz w:val="17"/>
                <w:szCs w:val="17"/>
                <w:color w:val="auto"/>
              </w:rPr>
              <w:t>Loss from discontinued operations, net of taxes</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DCE2E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41"/>
        </w:trPr>
        <w:tc>
          <w:tcPr>
            <w:tcW w:w="718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7"/>
                <w:szCs w:val="17"/>
                <w:b w:val="1"/>
                <w:bCs w:val="1"/>
                <w:color w:val="auto"/>
              </w:rPr>
              <w:t>Net income</w:t>
            </w:r>
          </w:p>
        </w:tc>
        <w:tc>
          <w:tcPr>
            <w:tcW w:w="480" w:type="dxa"/>
            <w:vAlign w:val="bottom"/>
            <w:tcBorders>
              <w:bottom w:val="single" w:sz="8" w:color="auto"/>
            </w:tcBorders>
            <w:shd w:val="clear" w:color="auto" w:fill="DCE2EF"/>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13.0</w:t>
            </w:r>
          </w:p>
        </w:tc>
        <w:tc>
          <w:tcPr>
            <w:tcW w:w="120" w:type="dxa"/>
            <w:vAlign w:val="bottom"/>
            <w:tcBorders>
              <w:bottom w:val="single" w:sz="8" w:color="DCE2EF"/>
            </w:tcBorders>
            <w:shd w:val="clear" w:color="auto" w:fill="DCE2EF"/>
          </w:tcPr>
          <w:p>
            <w:pPr>
              <w:spacing w:after="0"/>
              <w:rPr>
                <w:sz w:val="20"/>
                <w:szCs w:val="20"/>
                <w:color w:val="auto"/>
              </w:rPr>
            </w:pPr>
          </w:p>
        </w:tc>
        <w:tc>
          <w:tcPr>
            <w:tcW w:w="480" w:type="dxa"/>
            <w:vAlign w:val="bottom"/>
            <w:tcBorders>
              <w:bottom w:val="single" w:sz="8" w:color="auto"/>
            </w:tcBorders>
            <w:shd w:val="clear" w:color="auto" w:fill="DCE2EF"/>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27.8</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7"/>
                <w:szCs w:val="17"/>
                <w:b w:val="1"/>
                <w:bCs w:val="1"/>
                <w:color w:val="auto"/>
              </w:rPr>
              <w:t>Weighted-average common and common equivalent shares outstanding — Basic</w:t>
            </w:r>
          </w:p>
        </w:tc>
        <w:tc>
          <w:tcPr>
            <w:tcW w:w="48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66.4</w:t>
            </w:r>
          </w:p>
        </w:tc>
        <w:tc>
          <w:tcPr>
            <w:tcW w:w="120" w:type="dxa"/>
            <w:vAlign w:val="bottom"/>
            <w:shd w:val="clear" w:color="auto" w:fill="DCE2EF"/>
          </w:tcPr>
          <w:p>
            <w:pPr>
              <w:spacing w:after="0"/>
              <w:rPr>
                <w:sz w:val="23"/>
                <w:szCs w:val="23"/>
                <w:color w:val="auto"/>
              </w:rPr>
            </w:pPr>
          </w:p>
        </w:tc>
        <w:tc>
          <w:tcPr>
            <w:tcW w:w="48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65.9</w:t>
            </w:r>
          </w:p>
        </w:tc>
      </w:tr>
      <w:tr>
        <w:trPr>
          <w:trHeight w:val="261"/>
        </w:trPr>
        <w:tc>
          <w:tcPr>
            <w:tcW w:w="7180" w:type="dxa"/>
            <w:vAlign w:val="bottom"/>
            <w:gridSpan w:val="3"/>
          </w:tcPr>
          <w:p>
            <w:pPr>
              <w:ind w:left="40"/>
              <w:spacing w:after="0"/>
              <w:rPr>
                <w:sz w:val="20"/>
                <w:szCs w:val="20"/>
                <w:color w:val="auto"/>
              </w:rPr>
            </w:pPr>
            <w:r>
              <w:rPr>
                <w:rFonts w:ascii="Arial" w:cs="Arial" w:eastAsia="Arial" w:hAnsi="Arial"/>
                <w:sz w:val="17"/>
                <w:szCs w:val="17"/>
                <w:color w:val="auto"/>
              </w:rPr>
              <w:t>Effect of dilutive securities</w:t>
            </w:r>
          </w:p>
        </w:tc>
        <w:tc>
          <w:tcPr>
            <w:tcW w:w="4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9"/>
        </w:trPr>
        <w:tc>
          <w:tcPr>
            <w:tcW w:w="40" w:type="dxa"/>
            <w:vAlign w:val="bottom"/>
            <w:shd w:val="clear" w:color="auto" w:fill="DCE2EF"/>
          </w:tcPr>
          <w:p>
            <w:pPr>
              <w:spacing w:after="0"/>
              <w:rPr>
                <w:sz w:val="24"/>
                <w:szCs w:val="24"/>
                <w:color w:val="auto"/>
              </w:rPr>
            </w:pPr>
          </w:p>
        </w:tc>
        <w:tc>
          <w:tcPr>
            <w:tcW w:w="7140" w:type="dxa"/>
            <w:vAlign w:val="bottom"/>
            <w:gridSpan w:val="2"/>
            <w:shd w:val="clear" w:color="auto" w:fill="DCE2EF"/>
          </w:tcPr>
          <w:p>
            <w:pPr>
              <w:ind w:left="340"/>
              <w:spacing w:after="0"/>
              <w:rPr>
                <w:sz w:val="20"/>
                <w:szCs w:val="20"/>
                <w:color w:val="auto"/>
              </w:rPr>
            </w:pPr>
            <w:r>
              <w:rPr>
                <w:rFonts w:ascii="Arial" w:cs="Arial" w:eastAsia="Arial" w:hAnsi="Arial"/>
                <w:sz w:val="17"/>
                <w:szCs w:val="17"/>
                <w:color w:val="auto"/>
              </w:rPr>
              <w:t>Restricted stock units</w:t>
            </w:r>
          </w:p>
        </w:tc>
        <w:tc>
          <w:tcPr>
            <w:tcW w:w="480" w:type="dxa"/>
            <w:vAlign w:val="bottom"/>
            <w:shd w:val="clear" w:color="auto" w:fill="DCE2EF"/>
          </w:tcPr>
          <w:p>
            <w:pPr>
              <w:spacing w:after="0"/>
              <w:rPr>
                <w:sz w:val="24"/>
                <w:szCs w:val="24"/>
                <w:color w:val="auto"/>
              </w:rPr>
            </w:pPr>
          </w:p>
        </w:tc>
        <w:tc>
          <w:tcPr>
            <w:tcW w:w="15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shd w:val="clear" w:color="auto" w:fill="DCE2EF"/>
          </w:tcPr>
          <w:p>
            <w:pPr>
              <w:spacing w:after="0"/>
              <w:rPr>
                <w:sz w:val="24"/>
                <w:szCs w:val="24"/>
                <w:color w:val="auto"/>
              </w:rPr>
            </w:pPr>
          </w:p>
        </w:tc>
        <w:tc>
          <w:tcPr>
            <w:tcW w:w="480" w:type="dxa"/>
            <w:vAlign w:val="bottom"/>
            <w:shd w:val="clear" w:color="auto" w:fill="DCE2EF"/>
          </w:tcPr>
          <w:p>
            <w:pPr>
              <w:spacing w:after="0"/>
              <w:rPr>
                <w:sz w:val="24"/>
                <w:szCs w:val="24"/>
                <w:color w:val="auto"/>
              </w:rPr>
            </w:pPr>
          </w:p>
        </w:tc>
        <w:tc>
          <w:tcPr>
            <w:tcW w:w="15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0.2</w:t>
            </w:r>
          </w:p>
        </w:tc>
      </w:tr>
      <w:tr>
        <w:trPr>
          <w:trHeight w:val="261"/>
        </w:trPr>
        <w:tc>
          <w:tcPr>
            <w:tcW w:w="40" w:type="dxa"/>
            <w:vAlign w:val="bottom"/>
          </w:tcPr>
          <w:p>
            <w:pPr>
              <w:spacing w:after="0"/>
              <w:rPr>
                <w:sz w:val="22"/>
                <w:szCs w:val="22"/>
                <w:color w:val="auto"/>
              </w:rPr>
            </w:pPr>
          </w:p>
        </w:tc>
        <w:tc>
          <w:tcPr>
            <w:tcW w:w="7140" w:type="dxa"/>
            <w:vAlign w:val="bottom"/>
            <w:gridSpan w:val="2"/>
          </w:tcPr>
          <w:p>
            <w:pPr>
              <w:ind w:left="340"/>
              <w:spacing w:after="0"/>
              <w:rPr>
                <w:sz w:val="20"/>
                <w:szCs w:val="20"/>
                <w:color w:val="auto"/>
              </w:rPr>
            </w:pPr>
            <w:r>
              <w:rPr>
                <w:rFonts w:ascii="Arial" w:cs="Arial" w:eastAsia="Arial" w:hAnsi="Arial"/>
                <w:sz w:val="17"/>
                <w:szCs w:val="17"/>
                <w:color w:val="auto"/>
              </w:rPr>
              <w:t>Stock options</w:t>
            </w:r>
          </w:p>
        </w:tc>
        <w:tc>
          <w:tcPr>
            <w:tcW w:w="480" w:type="dxa"/>
            <w:vAlign w:val="bottom"/>
          </w:tcPr>
          <w:p>
            <w:pPr>
              <w:spacing w:after="0"/>
              <w:rPr>
                <w:sz w:val="22"/>
                <w:szCs w:val="22"/>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279"/>
        </w:trPr>
        <w:tc>
          <w:tcPr>
            <w:tcW w:w="40" w:type="dxa"/>
            <w:vAlign w:val="bottom"/>
            <w:shd w:val="clear" w:color="auto" w:fill="DCE2EF"/>
          </w:tcPr>
          <w:p>
            <w:pPr>
              <w:spacing w:after="0"/>
              <w:rPr>
                <w:sz w:val="24"/>
                <w:szCs w:val="24"/>
                <w:color w:val="auto"/>
              </w:rPr>
            </w:pPr>
          </w:p>
        </w:tc>
        <w:tc>
          <w:tcPr>
            <w:tcW w:w="7140" w:type="dxa"/>
            <w:vAlign w:val="bottom"/>
            <w:gridSpan w:val="2"/>
            <w:shd w:val="clear" w:color="auto" w:fill="DCE2EF"/>
          </w:tcPr>
          <w:p>
            <w:pPr>
              <w:ind w:left="340"/>
              <w:spacing w:after="0"/>
              <w:rPr>
                <w:sz w:val="20"/>
                <w:szCs w:val="20"/>
                <w:color w:val="auto"/>
              </w:rPr>
            </w:pPr>
            <w:r>
              <w:rPr>
                <w:rFonts w:ascii="Arial" w:cs="Arial" w:eastAsia="Arial" w:hAnsi="Arial"/>
                <w:sz w:val="17"/>
                <w:szCs w:val="17"/>
                <w:color w:val="auto"/>
              </w:rPr>
              <w:t>Performance shares</w:t>
            </w:r>
          </w:p>
        </w:tc>
        <w:tc>
          <w:tcPr>
            <w:tcW w:w="480" w:type="dxa"/>
            <w:vAlign w:val="bottom"/>
            <w:tcBorders>
              <w:bottom w:val="single" w:sz="8" w:color="auto"/>
            </w:tcBorders>
            <w:shd w:val="clear" w:color="auto" w:fill="DCE2EF"/>
          </w:tcPr>
          <w:p>
            <w:pPr>
              <w:spacing w:after="0"/>
              <w:rPr>
                <w:sz w:val="24"/>
                <w:szCs w:val="24"/>
                <w:color w:val="auto"/>
              </w:rPr>
            </w:pPr>
          </w:p>
        </w:tc>
        <w:tc>
          <w:tcPr>
            <w:tcW w:w="158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shd w:val="clear" w:color="auto" w:fill="DCE2EF"/>
          </w:tcPr>
          <w:p>
            <w:pPr>
              <w:spacing w:after="0"/>
              <w:rPr>
                <w:sz w:val="24"/>
                <w:szCs w:val="24"/>
                <w:color w:val="auto"/>
              </w:rPr>
            </w:pPr>
          </w:p>
        </w:tc>
        <w:tc>
          <w:tcPr>
            <w:tcW w:w="480" w:type="dxa"/>
            <w:vAlign w:val="bottom"/>
            <w:tcBorders>
              <w:bottom w:val="single" w:sz="8" w:color="auto"/>
            </w:tcBorders>
            <w:shd w:val="clear" w:color="auto" w:fill="DCE2EF"/>
          </w:tcPr>
          <w:p>
            <w:pPr>
              <w:spacing w:after="0"/>
              <w:rPr>
                <w:sz w:val="24"/>
                <w:szCs w:val="24"/>
                <w:color w:val="auto"/>
              </w:rPr>
            </w:pPr>
          </w:p>
        </w:tc>
        <w:tc>
          <w:tcPr>
            <w:tcW w:w="158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r>
      <w:tr>
        <w:trPr>
          <w:trHeight w:val="275"/>
        </w:trPr>
        <w:tc>
          <w:tcPr>
            <w:tcW w:w="7180" w:type="dxa"/>
            <w:vAlign w:val="bottom"/>
            <w:tcBorders>
              <w:bottom w:val="single" w:sz="8" w:color="DCE2EF"/>
            </w:tcBorders>
            <w:gridSpan w:val="3"/>
          </w:tcPr>
          <w:p>
            <w:pPr>
              <w:ind w:left="40"/>
              <w:spacing w:after="0"/>
              <w:rPr>
                <w:sz w:val="20"/>
                <w:szCs w:val="20"/>
                <w:color w:val="auto"/>
              </w:rPr>
            </w:pPr>
            <w:r>
              <w:rPr>
                <w:rFonts w:ascii="Arial" w:cs="Arial" w:eastAsia="Arial" w:hAnsi="Arial"/>
                <w:sz w:val="17"/>
                <w:szCs w:val="17"/>
                <w:b w:val="1"/>
                <w:bCs w:val="1"/>
                <w:color w:val="auto"/>
              </w:rPr>
              <w:t>Weighted-average common and common equivalent shares outstanding — Diluted</w:t>
            </w: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66.7</w:t>
            </w:r>
          </w:p>
        </w:tc>
        <w:tc>
          <w:tcPr>
            <w:tcW w:w="120" w:type="dxa"/>
            <w:vAlign w:val="bottom"/>
            <w:tcBorders>
              <w:bottom w:val="single" w:sz="8" w:color="DCE2E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66.3</w:t>
            </w:r>
          </w:p>
        </w:tc>
      </w:tr>
      <w:tr>
        <w:trPr>
          <w:trHeight w:val="280"/>
        </w:trPr>
        <w:tc>
          <w:tcPr>
            <w:tcW w:w="40" w:type="dxa"/>
            <w:vAlign w:val="bottom"/>
            <w:shd w:val="clear" w:color="auto" w:fill="DCE2EF"/>
          </w:tcPr>
          <w:p>
            <w:pPr>
              <w:spacing w:after="0"/>
              <w:rPr>
                <w:sz w:val="24"/>
                <w:szCs w:val="24"/>
                <w:color w:val="auto"/>
              </w:rPr>
            </w:pPr>
          </w:p>
        </w:tc>
        <w:tc>
          <w:tcPr>
            <w:tcW w:w="2240" w:type="dxa"/>
            <w:vAlign w:val="bottom"/>
            <w:shd w:val="clear" w:color="auto" w:fill="DCE2EF"/>
          </w:tcPr>
          <w:p>
            <w:pPr>
              <w:spacing w:after="0"/>
              <w:rPr>
                <w:sz w:val="24"/>
                <w:szCs w:val="24"/>
                <w:color w:val="auto"/>
              </w:rPr>
            </w:pPr>
          </w:p>
        </w:tc>
        <w:tc>
          <w:tcPr>
            <w:tcW w:w="4900" w:type="dxa"/>
            <w:vAlign w:val="bottom"/>
            <w:shd w:val="clear" w:color="auto" w:fill="DCE2EF"/>
          </w:tcPr>
          <w:p>
            <w:pPr>
              <w:spacing w:after="0"/>
              <w:rPr>
                <w:sz w:val="24"/>
                <w:szCs w:val="24"/>
                <w:color w:val="auto"/>
              </w:rPr>
            </w:pPr>
          </w:p>
        </w:tc>
        <w:tc>
          <w:tcPr>
            <w:tcW w:w="480" w:type="dxa"/>
            <w:vAlign w:val="bottom"/>
            <w:shd w:val="clear" w:color="auto" w:fill="DCE2EF"/>
          </w:tcPr>
          <w:p>
            <w:pPr>
              <w:spacing w:after="0"/>
              <w:rPr>
                <w:sz w:val="24"/>
                <w:szCs w:val="24"/>
                <w:color w:val="auto"/>
              </w:rPr>
            </w:pPr>
          </w:p>
        </w:tc>
        <w:tc>
          <w:tcPr>
            <w:tcW w:w="15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480" w:type="dxa"/>
            <w:vAlign w:val="bottom"/>
            <w:shd w:val="clear" w:color="auto" w:fill="DCE2EF"/>
          </w:tcPr>
          <w:p>
            <w:pPr>
              <w:spacing w:after="0"/>
              <w:rPr>
                <w:sz w:val="24"/>
                <w:szCs w:val="24"/>
                <w:color w:val="auto"/>
              </w:rPr>
            </w:pPr>
          </w:p>
        </w:tc>
        <w:tc>
          <w:tcPr>
            <w:tcW w:w="1580" w:type="dxa"/>
            <w:vAlign w:val="bottom"/>
            <w:shd w:val="clear" w:color="auto" w:fill="DCE2EF"/>
          </w:tcPr>
          <w:p>
            <w:pPr>
              <w:spacing w:after="0"/>
              <w:rPr>
                <w:sz w:val="24"/>
                <w:szCs w:val="24"/>
                <w:color w:val="auto"/>
              </w:rPr>
            </w:pPr>
          </w:p>
        </w:tc>
      </w:tr>
      <w:tr>
        <w:trPr>
          <w:trHeight w:val="261"/>
        </w:trPr>
        <w:tc>
          <w:tcPr>
            <w:tcW w:w="718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 per common share — Basic</w:t>
            </w:r>
          </w:p>
        </w:tc>
        <w:tc>
          <w:tcPr>
            <w:tcW w:w="4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9"/>
        </w:trPr>
        <w:tc>
          <w:tcPr>
            <w:tcW w:w="40" w:type="dxa"/>
            <w:vAlign w:val="bottom"/>
            <w:shd w:val="clear" w:color="auto" w:fill="DCE2EF"/>
          </w:tcPr>
          <w:p>
            <w:pPr>
              <w:spacing w:after="0"/>
              <w:rPr>
                <w:sz w:val="24"/>
                <w:szCs w:val="24"/>
                <w:color w:val="auto"/>
              </w:rPr>
            </w:pPr>
          </w:p>
        </w:tc>
        <w:tc>
          <w:tcPr>
            <w:tcW w:w="7140" w:type="dxa"/>
            <w:vAlign w:val="bottom"/>
            <w:gridSpan w:val="2"/>
            <w:shd w:val="clear" w:color="auto" w:fill="DCE2EF"/>
          </w:tcPr>
          <w:p>
            <w:pPr>
              <w:ind w:left="340"/>
              <w:spacing w:after="0"/>
              <w:rPr>
                <w:sz w:val="20"/>
                <w:szCs w:val="20"/>
                <w:color w:val="auto"/>
              </w:rPr>
            </w:pPr>
            <w:r>
              <w:rPr>
                <w:rFonts w:ascii="Arial" w:cs="Arial" w:eastAsia="Arial" w:hAnsi="Arial"/>
                <w:sz w:val="17"/>
                <w:szCs w:val="17"/>
                <w:color w:val="auto"/>
              </w:rPr>
              <w:t>Income from continuing operations</w:t>
            </w:r>
          </w:p>
        </w:tc>
        <w:tc>
          <w:tcPr>
            <w:tcW w:w="480" w:type="dxa"/>
            <w:vAlign w:val="bottom"/>
            <w:shd w:val="clear" w:color="auto" w:fill="DCE2EF"/>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0.20</w:t>
            </w:r>
          </w:p>
        </w:tc>
        <w:tc>
          <w:tcPr>
            <w:tcW w:w="120" w:type="dxa"/>
            <w:vAlign w:val="bottom"/>
            <w:shd w:val="clear" w:color="auto" w:fill="DCE2EF"/>
          </w:tcPr>
          <w:p>
            <w:pPr>
              <w:spacing w:after="0"/>
              <w:rPr>
                <w:sz w:val="24"/>
                <w:szCs w:val="24"/>
                <w:color w:val="auto"/>
              </w:rPr>
            </w:pPr>
          </w:p>
        </w:tc>
        <w:tc>
          <w:tcPr>
            <w:tcW w:w="480" w:type="dxa"/>
            <w:vAlign w:val="bottom"/>
            <w:shd w:val="clear" w:color="auto" w:fill="DCE2EF"/>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0.42</w:t>
            </w:r>
          </w:p>
        </w:tc>
      </w:tr>
      <w:tr>
        <w:trPr>
          <w:trHeight w:val="264"/>
        </w:trPr>
        <w:tc>
          <w:tcPr>
            <w:tcW w:w="40" w:type="dxa"/>
            <w:vAlign w:val="bottom"/>
          </w:tcPr>
          <w:p>
            <w:pPr>
              <w:spacing w:after="0"/>
              <w:rPr>
                <w:sz w:val="22"/>
                <w:szCs w:val="22"/>
                <w:color w:val="auto"/>
              </w:rPr>
            </w:pPr>
          </w:p>
        </w:tc>
        <w:tc>
          <w:tcPr>
            <w:tcW w:w="7140" w:type="dxa"/>
            <w:vAlign w:val="bottom"/>
            <w:gridSpan w:val="2"/>
          </w:tcPr>
          <w:p>
            <w:pPr>
              <w:ind w:left="340"/>
              <w:spacing w:after="0"/>
              <w:rPr>
                <w:sz w:val="20"/>
                <w:szCs w:val="20"/>
                <w:color w:val="auto"/>
              </w:rPr>
            </w:pPr>
            <w:r>
              <w:rPr>
                <w:rFonts w:ascii="Arial" w:cs="Arial" w:eastAsia="Arial" w:hAnsi="Arial"/>
                <w:sz w:val="17"/>
                <w:szCs w:val="17"/>
                <w:color w:val="auto"/>
              </w:rPr>
              <w:t>Loss from discontinued operations</w:t>
            </w:r>
          </w:p>
        </w:tc>
        <w:tc>
          <w:tcPr>
            <w:tcW w:w="48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2"/>
                <w:szCs w:val="22"/>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41"/>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714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7"/>
                <w:szCs w:val="17"/>
                <w:color w:val="auto"/>
              </w:rPr>
              <w:t>Net income</w:t>
            </w:r>
          </w:p>
        </w:tc>
        <w:tc>
          <w:tcPr>
            <w:tcW w:w="480" w:type="dxa"/>
            <w:vAlign w:val="bottom"/>
            <w:tcBorders>
              <w:top w:val="single" w:sz="8" w:color="auto"/>
              <w:bottom w:val="single" w:sz="8" w:color="auto"/>
            </w:tcBorders>
            <w:shd w:val="clear" w:color="auto" w:fill="DCE2EF"/>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0.20</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480" w:type="dxa"/>
            <w:vAlign w:val="bottom"/>
            <w:tcBorders>
              <w:top w:val="single" w:sz="8" w:color="auto"/>
              <w:bottom w:val="single" w:sz="8" w:color="auto"/>
            </w:tcBorders>
            <w:shd w:val="clear" w:color="auto" w:fill="DCE2EF"/>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0.42</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7"/>
                <w:szCs w:val="17"/>
                <w:b w:val="1"/>
                <w:bCs w:val="1"/>
                <w:color w:val="auto"/>
              </w:rPr>
              <w:t>Net income per common share — Diluted</w:t>
            </w:r>
          </w:p>
        </w:tc>
        <w:tc>
          <w:tcPr>
            <w:tcW w:w="480" w:type="dxa"/>
            <w:vAlign w:val="bottom"/>
            <w:shd w:val="clear" w:color="auto" w:fill="DCE2EF"/>
          </w:tcPr>
          <w:p>
            <w:pPr>
              <w:spacing w:after="0"/>
              <w:rPr>
                <w:sz w:val="23"/>
                <w:szCs w:val="23"/>
                <w:color w:val="auto"/>
              </w:rPr>
            </w:pPr>
          </w:p>
        </w:tc>
        <w:tc>
          <w:tcPr>
            <w:tcW w:w="158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480" w:type="dxa"/>
            <w:vAlign w:val="bottom"/>
            <w:shd w:val="clear" w:color="auto" w:fill="DCE2EF"/>
          </w:tcPr>
          <w:p>
            <w:pPr>
              <w:spacing w:after="0"/>
              <w:rPr>
                <w:sz w:val="23"/>
                <w:szCs w:val="23"/>
                <w:color w:val="auto"/>
              </w:rPr>
            </w:pPr>
          </w:p>
        </w:tc>
        <w:tc>
          <w:tcPr>
            <w:tcW w:w="1580" w:type="dxa"/>
            <w:vAlign w:val="bottom"/>
            <w:shd w:val="clear" w:color="auto" w:fill="DCE2EF"/>
          </w:tcPr>
          <w:p>
            <w:pPr>
              <w:spacing w:after="0"/>
              <w:rPr>
                <w:sz w:val="23"/>
                <w:szCs w:val="23"/>
                <w:color w:val="auto"/>
              </w:rPr>
            </w:pPr>
          </w:p>
        </w:tc>
      </w:tr>
      <w:tr>
        <w:trPr>
          <w:trHeight w:val="261"/>
        </w:trPr>
        <w:tc>
          <w:tcPr>
            <w:tcW w:w="40" w:type="dxa"/>
            <w:vAlign w:val="bottom"/>
          </w:tcPr>
          <w:p>
            <w:pPr>
              <w:spacing w:after="0"/>
              <w:rPr>
                <w:sz w:val="22"/>
                <w:szCs w:val="22"/>
                <w:color w:val="auto"/>
              </w:rPr>
            </w:pPr>
          </w:p>
        </w:tc>
        <w:tc>
          <w:tcPr>
            <w:tcW w:w="7140" w:type="dxa"/>
            <w:vAlign w:val="bottom"/>
            <w:gridSpan w:val="2"/>
          </w:tcPr>
          <w:p>
            <w:pPr>
              <w:ind w:left="340"/>
              <w:spacing w:after="0"/>
              <w:rPr>
                <w:sz w:val="20"/>
                <w:szCs w:val="20"/>
                <w:color w:val="auto"/>
              </w:rPr>
            </w:pPr>
            <w:r>
              <w:rPr>
                <w:rFonts w:ascii="Arial" w:cs="Arial" w:eastAsia="Arial" w:hAnsi="Arial"/>
                <w:sz w:val="17"/>
                <w:szCs w:val="17"/>
                <w:color w:val="auto"/>
              </w:rPr>
              <w:t>Income from continuing operations</w:t>
            </w: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22"/>
                <w:szCs w:val="22"/>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0.42</w:t>
            </w:r>
          </w:p>
        </w:tc>
      </w:tr>
      <w:tr>
        <w:trPr>
          <w:trHeight w:val="272"/>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340"/>
              <w:spacing w:after="0"/>
              <w:rPr>
                <w:sz w:val="20"/>
                <w:szCs w:val="20"/>
                <w:color w:val="auto"/>
              </w:rPr>
            </w:pPr>
            <w:r>
              <w:rPr>
                <w:rFonts w:ascii="Arial" w:cs="Arial" w:eastAsia="Arial" w:hAnsi="Arial"/>
                <w:sz w:val="17"/>
                <w:szCs w:val="17"/>
                <w:color w:val="auto"/>
              </w:rPr>
              <w:t>Loss from discontinued operations</w:t>
            </w:r>
          </w:p>
        </w:tc>
        <w:tc>
          <w:tcPr>
            <w:tcW w:w="480" w:type="dxa"/>
            <w:vAlign w:val="bottom"/>
            <w:shd w:val="clear" w:color="auto" w:fill="DCE2EF"/>
          </w:tcPr>
          <w:p>
            <w:pPr>
              <w:spacing w:after="0"/>
              <w:rPr>
                <w:sz w:val="23"/>
                <w:szCs w:val="23"/>
                <w:color w:val="auto"/>
              </w:rPr>
            </w:pPr>
          </w:p>
        </w:tc>
        <w:tc>
          <w:tcPr>
            <w:tcW w:w="1700" w:type="dxa"/>
            <w:vAlign w:val="bottom"/>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w:t>
            </w:r>
          </w:p>
        </w:tc>
      </w:tr>
      <w:tr>
        <w:trPr>
          <w:trHeight w:val="241"/>
        </w:trPr>
        <w:tc>
          <w:tcPr>
            <w:tcW w:w="40" w:type="dxa"/>
            <w:vAlign w:val="bottom"/>
          </w:tcPr>
          <w:p>
            <w:pPr>
              <w:spacing w:after="0"/>
              <w:rPr>
                <w:sz w:val="20"/>
                <w:szCs w:val="20"/>
                <w:color w:val="auto"/>
              </w:rPr>
            </w:pPr>
          </w:p>
        </w:tc>
        <w:tc>
          <w:tcPr>
            <w:tcW w:w="7140" w:type="dxa"/>
            <w:vAlign w:val="bottom"/>
            <w:gridSpan w:val="2"/>
          </w:tcPr>
          <w:p>
            <w:pPr>
              <w:ind w:left="340"/>
              <w:spacing w:after="0"/>
              <w:rPr>
                <w:sz w:val="20"/>
                <w:szCs w:val="20"/>
                <w:color w:val="auto"/>
              </w:rPr>
            </w:pPr>
            <w:r>
              <w:rPr>
                <w:rFonts w:ascii="Arial" w:cs="Arial" w:eastAsia="Arial" w:hAnsi="Arial"/>
                <w:sz w:val="17"/>
                <w:szCs w:val="17"/>
                <w:color w:val="auto"/>
              </w:rPr>
              <w:t>Net income</w:t>
            </w:r>
          </w:p>
        </w:tc>
        <w:tc>
          <w:tcPr>
            <w:tcW w:w="4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0.19</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0.42</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p>
      <w:pPr>
        <w:spacing w:after="0" w:line="200" w:lineRule="exact"/>
        <w:rPr>
          <w:sz w:val="20"/>
          <w:szCs w:val="20"/>
          <w:color w:val="auto"/>
        </w:rPr>
      </w:pPr>
    </w:p>
    <w:p>
      <w:pPr>
        <w:spacing w:after="0" w:line="211" w:lineRule="exact"/>
        <w:rPr>
          <w:sz w:val="20"/>
          <w:szCs w:val="20"/>
          <w:color w:val="auto"/>
        </w:rPr>
      </w:pPr>
    </w:p>
    <w:p>
      <w:pPr>
        <w:ind w:left="7980"/>
        <w:spacing w:after="0"/>
        <w:rPr>
          <w:sz w:val="20"/>
          <w:szCs w:val="20"/>
          <w:color w:val="auto"/>
        </w:rPr>
      </w:pPr>
      <w:r>
        <w:rPr>
          <w:rFonts w:ascii="Arial" w:cs="Arial" w:eastAsia="Arial" w:hAnsi="Arial"/>
          <w:sz w:val="17"/>
          <w:szCs w:val="17"/>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29845</wp:posOffset>
            </wp:positionV>
            <wp:extent cx="267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080" w:type="dxa"/>
            <w:vAlign w:val="bottom"/>
          </w:tcPr>
          <w:p>
            <w:pPr>
              <w:jc w:val="right"/>
              <w:ind w:right="7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7"/>
                <w:szCs w:val="17"/>
                <w:color w:val="auto"/>
              </w:rPr>
            </w:pPr>
          </w:p>
        </w:tc>
        <w:tc>
          <w:tcPr>
            <w:tcW w:w="2040" w:type="dxa"/>
            <w:vAlign w:val="bottom"/>
          </w:tcPr>
          <w:p>
            <w:pPr>
              <w:jc w:val="right"/>
              <w:ind w:right="755"/>
              <w:spacing w:after="0"/>
              <w:rPr>
                <w:sz w:val="20"/>
                <w:szCs w:val="20"/>
                <w:color w:val="auto"/>
              </w:rPr>
            </w:pPr>
            <w:r>
              <w:rPr>
                <w:rFonts w:ascii="Arial" w:cs="Arial" w:eastAsia="Arial" w:hAnsi="Arial"/>
                <w:sz w:val="17"/>
                <w:szCs w:val="17"/>
                <w:b w:val="1"/>
                <w:bCs w:val="1"/>
                <w:color w:val="auto"/>
              </w:rPr>
              <w:t>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7"/>
                <w:szCs w:val="17"/>
                <w:b w:val="1"/>
                <w:bCs w:val="1"/>
                <w:color w:val="auto"/>
              </w:rPr>
              <w:t>Anti-dilutive</w:t>
            </w:r>
          </w:p>
        </w:tc>
        <w:tc>
          <w:tcPr>
            <w:tcW w:w="2080" w:type="dxa"/>
            <w:vAlign w:val="bottom"/>
            <w:shd w:val="clear" w:color="auto" w:fill="DCE2EF"/>
          </w:tcPr>
          <w:p>
            <w:pPr>
              <w:jc w:val="right"/>
              <w:ind w:right="55"/>
              <w:spacing w:after="0"/>
              <w:rPr>
                <w:sz w:val="20"/>
                <w:szCs w:val="20"/>
                <w:color w:val="auto"/>
              </w:rPr>
            </w:pPr>
            <w:r>
              <w:rPr>
                <w:rFonts w:ascii="Arial" w:cs="Arial" w:eastAsia="Arial" w:hAnsi="Arial"/>
                <w:sz w:val="17"/>
                <w:szCs w:val="17"/>
                <w:color w:val="auto"/>
              </w:rPr>
              <w:t>0.4</w:t>
            </w:r>
          </w:p>
        </w:tc>
        <w:tc>
          <w:tcPr>
            <w:tcW w:w="100" w:type="dxa"/>
            <w:vAlign w:val="bottom"/>
            <w:shd w:val="clear" w:color="auto" w:fill="DCE2EF"/>
          </w:tcPr>
          <w:p>
            <w:pPr>
              <w:spacing w:after="0"/>
              <w:rPr>
                <w:sz w:val="21"/>
                <w:szCs w:val="21"/>
                <w:color w:val="auto"/>
              </w:rPr>
            </w:pPr>
          </w:p>
        </w:tc>
        <w:tc>
          <w:tcPr>
            <w:tcW w:w="204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0.2</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6AD"/>
        </w:rPr>
        <w:t>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62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31, 2019</w:t>
            </w:r>
          </w:p>
        </w:tc>
        <w:tc>
          <w:tcPr>
            <w:tcW w:w="200" w:type="dxa"/>
            <w:vAlign w:val="bottom"/>
          </w:tcPr>
          <w:p>
            <w:pPr>
              <w:spacing w:after="0"/>
              <w:rPr>
                <w:sz w:val="16"/>
                <w:szCs w:val="16"/>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562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5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DCE2EF"/>
          </w:tcPr>
          <w:p>
            <w:pPr>
              <w:spacing w:after="0"/>
              <w:rPr>
                <w:sz w:val="21"/>
                <w:szCs w:val="21"/>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39.1</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(3)</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Credit facility</w:t>
            </w:r>
            <w:r>
              <w:rPr>
                <w:rFonts w:ascii="Arial" w:cs="Arial" w:eastAsia="Arial" w:hAnsi="Arial"/>
                <w:sz w:val="21"/>
                <w:szCs w:val="21"/>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997.0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949.0</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rate swap (liabilities) assets</w:t>
            </w:r>
            <w:r>
              <w:rPr>
                <w:rFonts w:ascii="Arial" w:cs="Arial" w:eastAsia="Arial" w:hAnsi="Arial"/>
                <w:sz w:val="21"/>
                <w:szCs w:val="21"/>
                <w:color w:val="auto"/>
                <w:vertAlign w:val="superscript"/>
              </w:rPr>
              <w:t>(5)</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w:t>
            </w:r>
          </w:p>
        </w:tc>
      </w:tr>
      <w:tr>
        <w:trPr>
          <w:trHeight w:val="32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(6)</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5.0</w:t>
            </w:r>
          </w:p>
        </w:tc>
      </w:tr>
    </w:tbl>
    <w:p>
      <w:pPr>
        <w:spacing w:after="0" w:line="6"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02" w:lineRule="exact"/>
        <w:rPr>
          <w:rFonts w:ascii="Arial" w:cs="Arial" w:eastAsia="Arial" w:hAnsi="Arial"/>
          <w:sz w:val="21"/>
          <w:szCs w:val="21"/>
          <w:color w:val="auto"/>
          <w:vertAlign w:val="superscript"/>
        </w:rPr>
      </w:pPr>
    </w:p>
    <w:p>
      <w:pPr>
        <w:jc w:val="both"/>
        <w:ind w:firstLine="8"/>
        <w:spacing w:after="0" w:line="411" w:lineRule="auto"/>
        <w:tabs>
          <w:tab w:leader="none" w:pos="176"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7, “Insurance,” for further information.</w:t>
      </w:r>
    </w:p>
    <w:p>
      <w:pPr>
        <w:spacing w:after="0" w:line="5" w:lineRule="exact"/>
        <w:rPr>
          <w:rFonts w:ascii="Arial" w:cs="Arial" w:eastAsia="Arial" w:hAnsi="Arial"/>
          <w:sz w:val="19"/>
          <w:szCs w:val="19"/>
          <w:color w:val="auto"/>
          <w:vertAlign w:val="superscript"/>
        </w:rPr>
      </w:pPr>
    </w:p>
    <w:p>
      <w:pPr>
        <w:jc w:val="both"/>
        <w:ind w:firstLine="8"/>
        <w:spacing w:after="0" w:line="437" w:lineRule="auto"/>
        <w:tabs>
          <w:tab w:leader="none" w:pos="162"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5" w:lineRule="exact"/>
        <w:rPr>
          <w:rFonts w:ascii="Arial" w:cs="Arial" w:eastAsia="Arial" w:hAnsi="Arial"/>
          <w:sz w:val="18"/>
          <w:szCs w:val="18"/>
          <w:color w:val="auto"/>
          <w:vertAlign w:val="superscript"/>
        </w:rPr>
      </w:pPr>
    </w:p>
    <w:p>
      <w:pPr>
        <w:ind w:firstLine="8"/>
        <w:spacing w:after="0" w:line="263" w:lineRule="auto"/>
        <w:tabs>
          <w:tab w:leader="none" w:pos="162"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gross outstanding borrowings under our syndicated line of credit and term loan. Due to variable interest rates, the carrying value of outstanding borrowings under our line of credit and term loan approximates the fair value. See Note 8, “Credit Facility,” for further information.</w:t>
      </w:r>
    </w:p>
    <w:p>
      <w:pPr>
        <w:spacing w:after="0" w:line="82" w:lineRule="exact"/>
        <w:rPr>
          <w:rFonts w:ascii="Arial" w:cs="Arial" w:eastAsia="Arial" w:hAnsi="Arial"/>
          <w:sz w:val="18"/>
          <w:szCs w:val="18"/>
          <w:color w:val="auto"/>
          <w:vertAlign w:val="superscript"/>
        </w:rPr>
      </w:pPr>
    </w:p>
    <w:p>
      <w:pPr>
        <w:jc w:val="both"/>
        <w:ind w:firstLine="8"/>
        <w:spacing w:after="0" w:line="358" w:lineRule="auto"/>
        <w:tabs>
          <w:tab w:leader="none" w:pos="162"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At January 31, 2019 and October 31, 2018, our interest rate swaps are included in “Other noncurrent liabilities” and “Other noncurrent assets,” respectively, on the accompanying unaudited consolidated balance sheets. See Note 8, “Credit Facility,” for further information.</w:t>
      </w:r>
    </w:p>
    <w:p>
      <w:pPr>
        <w:spacing w:after="0" w:line="24" w:lineRule="exact"/>
        <w:rPr>
          <w:rFonts w:ascii="Arial" w:cs="Arial" w:eastAsia="Arial" w:hAnsi="Arial"/>
          <w:sz w:val="18"/>
          <w:szCs w:val="18"/>
          <w:color w:val="auto"/>
          <w:vertAlign w:val="superscript"/>
        </w:rPr>
      </w:pPr>
    </w:p>
    <w:p>
      <w:pPr>
        <w:jc w:val="both"/>
        <w:ind w:right="20" w:firstLine="8"/>
        <w:spacing w:after="0" w:line="268" w:lineRule="auto"/>
        <w:tabs>
          <w:tab w:leader="none" w:pos="162"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fair value of investments in auction rate securities is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w:t>
      </w:r>
    </w:p>
    <w:p>
      <w:pPr>
        <w:spacing w:after="0" w:line="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At January 31, 2019 and October 31, 2018, we held an investment in one auction rate security that had an original principal amount, amortized cost, and fair value of $5.0 million that is included in “Other investments” on the accompanying unaudited consolidated balance sheets. This auction rate security is a debt instrument with a stated maturity in 2050. The interest rate for this security is designed to be reset through Dutch auctions approximately every thirty days; however, auctions for this security have not occurred since August 2007. At January 31, 2019 and October 31, 2018, there were no unrealized gains or losses on our auction rate security included in AOCI.</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January 31, 2019, we had no transfers of assets or liabilities between any of the above hierarchy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w:t>
      </w:r>
      <w:r>
        <w:rPr>
          <w:rFonts w:ascii="Arial" w:cs="Arial" w:eastAsia="Arial" w:hAnsi="Arial"/>
          <w:sz w:val="18"/>
          <w:szCs w:val="18"/>
          <w:color w:val="auto"/>
        </w:rPr>
        <w:t>n addition to assets and liabilities that are measured at fair value on a recurring basis, we are also required to measure certain items at</w:t>
      </w:r>
      <w:r>
        <w:rPr>
          <w:rFonts w:ascii="Arial" w:cs="Arial" w:eastAsia="Arial" w:hAnsi="Arial"/>
          <w:sz w:val="16"/>
          <w:szCs w:val="16"/>
          <w:color w:val="auto"/>
        </w:rPr>
        <w:t xml:space="preserve"> </w:t>
      </w:r>
      <w:r>
        <w:rPr>
          <w:rFonts w:ascii="Arial" w:cs="Arial" w:eastAsia="Arial" w:hAnsi="Arial"/>
          <w:sz w:val="18"/>
          <w:szCs w:val="18"/>
          <w:color w:val="auto"/>
        </w:rPr>
        <w:t>fair value on a non-recurring basis, which are subject to fair value adjustments in certain circumstances. These assets can include: goodwill; intangible assets; property, plant and equipment; and long-lived assets that have been reduced to fair value when they are held for sale.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46AD"/>
        </w:rPr>
        <w:t>7.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$0.4 million of exposure on a per-participant, per-year basis with respect to claims.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Actuarial Review Performed During the First Quarter of 2019</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January 31, 2019, we performed an actuarial review of the majority of our casualty insurance programs that considered changes in claim developments and claim payment activity for the period commencing May 1, 2018 and ending October 31, 2018 for all policy years in which open claims existed.</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actuarial review indicated the changes we have made to our risk management program have reduced the frequency of claims; however, we are experiencing adverse developments that impact claim costs relating to prior periods. Claim management initiatives include programs to identify those claims earlier in the claims cycle that may potentially develop adversely and ensure the establishment of reserves consistent with known fact patterns. However, with respect to claims related to prior fiscal years, the actuarial review showed unfavorable developments in our estimates of ultimate losses related to general liability, property damage, workers’ compensation, and automobile liability claims, as described below.</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actuarial review related to our general liability program indicated the total number of claims continues to show a pattern of decreasing frequency, particularly with bodily injury claims. However, we experienced adverse developments with respect to claims related to prior fiscal years that are largely attributable to adjustments for certain alleged bodily injury claims.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increases in projected costs and severity of claims in prior fiscal years, we increased our estimate of ultimate losses for workers’ compensation claims. Statutory, regulatory, and legal developments have also contributed to the increase in our estimated losses. Our workers’ compensation estimate of ultimate losses was primarily impacted by increases in projected costs for a significant number of prior year claims in California.</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automobile liability program covers our fleet of passenger vehicles, service vans, and shuttle buses, which are associated with our various transportation service contracts. Claim frequency and severity associated with our fleet operations developed unfavorably versus actuarial expectations, consistent with insurance trends exhibited in the broader insurance book of claims.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the results of the actuarial review and subsequent developments, we increased our total reserves for known claims as well as our estimate of the loss amounts associated with incurred but not reported claims by $5.0 million during the three months ended January 31, 2019. This adjustment was $3.0 million higher than the total adjustment related to prior year claims of $2.0 million during the three months ended January 31, 2018. We will continue to assess ongoing developments, which may result in further adjustments to reserves.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9"/>
        </w:trPr>
        <w:tc>
          <w:tcPr>
            <w:tcW w:w="7160" w:type="dxa"/>
            <w:vAlign w:val="bottom"/>
            <w:gridSpan w:val="3"/>
          </w:tcPr>
          <w:p>
            <w:pPr>
              <w:spacing w:after="0"/>
              <w:rPr>
                <w:sz w:val="20"/>
                <w:szCs w:val="20"/>
                <w:color w:val="auto"/>
              </w:rPr>
            </w:pPr>
            <w:r>
              <w:rPr>
                <w:rFonts w:ascii="Arial" w:cs="Arial" w:eastAsia="Arial" w:hAnsi="Arial"/>
                <w:sz w:val="18"/>
                <w:szCs w:val="18"/>
                <w:b w:val="1"/>
                <w:bCs w:val="1"/>
                <w:color w:val="0046AD"/>
              </w:rPr>
              <w:t>Insurance Related Balances and Activity</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27"/>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claim reserves, excluding medical and dental</w:t>
            </w: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512.0</w:t>
            </w:r>
          </w:p>
        </w:tc>
        <w:tc>
          <w:tcPr>
            <w:tcW w:w="10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501.4</w:t>
            </w: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Medical and dental claim reserves</w:t>
            </w:r>
          </w:p>
        </w:tc>
        <w:tc>
          <w:tcPr>
            <w:tcW w:w="220" w:type="dxa"/>
            <w:vAlign w:val="bottom"/>
          </w:tcPr>
          <w:p>
            <w:pPr>
              <w:spacing w:after="0"/>
              <w:rPr>
                <w:sz w:val="22"/>
                <w:szCs w:val="22"/>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7"/>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recoverables</w:t>
            </w:r>
          </w:p>
        </w:tc>
        <w:tc>
          <w:tcPr>
            <w:tcW w:w="220" w:type="dxa"/>
            <w:vAlign w:val="bottom"/>
            <w:shd w:val="clear" w:color="auto" w:fill="DCE2EF"/>
          </w:tcPr>
          <w:p>
            <w:pPr>
              <w:spacing w:after="0"/>
              <w:rPr>
                <w:sz w:val="24"/>
                <w:szCs w:val="24"/>
                <w:color w:val="auto"/>
              </w:rPr>
            </w:pPr>
          </w:p>
        </w:tc>
        <w:tc>
          <w:tcPr>
            <w:tcW w:w="18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73.7</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January 31, 2019 and October 31, 2018, insurance recoverables are included in both “Other current assets” and “Other noncurrent assets” on the accompanying unaudited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 2019</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Standby letters of credit</w:t>
            </w: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144.1</w:t>
            </w: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220" w:type="dxa"/>
            <w:vAlign w:val="bottom"/>
          </w:tcPr>
          <w:p>
            <w:pPr>
              <w:spacing w:after="0"/>
              <w:rPr>
                <w:sz w:val="22"/>
                <w:szCs w:val="22"/>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89.2</w:t>
            </w:r>
          </w:p>
        </w:tc>
      </w:tr>
      <w:tr>
        <w:trPr>
          <w:trHeight w:val="270"/>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Restricted insurance deposits</w:t>
            </w:r>
          </w:p>
        </w:tc>
        <w:tc>
          <w:tcPr>
            <w:tcW w:w="220" w:type="dxa"/>
            <w:vAlign w:val="bottom"/>
            <w:tcBorders>
              <w:bottom w:val="single" w:sz="8" w:color="auto"/>
            </w:tcBorders>
            <w:shd w:val="clear" w:color="auto" w:fill="DCE2EF"/>
          </w:tcPr>
          <w:p>
            <w:pPr>
              <w:spacing w:after="0"/>
              <w:rPr>
                <w:sz w:val="23"/>
                <w:szCs w:val="23"/>
                <w:color w:val="auto"/>
              </w:rPr>
            </w:pPr>
          </w:p>
        </w:tc>
        <w:tc>
          <w:tcPr>
            <w:tcW w:w="186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0.6</w:t>
            </w:r>
          </w:p>
        </w:tc>
      </w:tr>
      <w:tr>
        <w:trPr>
          <w:trHeight w:val="257"/>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8.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The Credit Facility also provides for the issuance of up to $ 300.0 million for standby letters of credit and the issuance of up to $75.0 million in swingline advances. The obligations under the Credit Facility are secured on a first-priority basis by a lien on substantially all of our assets and properties, subject to certain exceptions.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Borrowings under the Credit Facility bear interest at a rate equal to 1-month LIBOR plus a spread that is based upon our leverage ratio. The spread ranges from 1.00% to 2.25% for Eurocurrency loans and 0.00% to 1.25% for base rate loans. At January 31, 2019, the weighted average interest rate on our outstanding borrowings was 4.32%. We also pay a commitment fee, based on our leverage ratio and payable quarterly in arrears, ranging from 0.200% to 0.350% on the average daily unused portion of the line of credit. For purposes of this calculation, irrevocable standby letters of credit, which are issued primarily in conjunction with our insurance programs, and cash borrowings are included as outstanding under the line of credit.</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as amended, contains certain covenants, including a maximum leverage ratio of 4.50 to 1.0, which steps down to 3.50 to 1.0 by July 2021, and a minimum fixed charge coverage ratio of 1.50 to 1.0, as well as other financial and non-financial covenants. In the event of a material acquisition, as defined in the Credit Facility, we may elect to increase the leverage ratio to 3.75 to 1.0 for a total of four fiscal quarters, provided the leverage ratio had already been reduced to 3.50 to 1.0. Our borrowing capacity is subject to, and limited by, compliance with the covenants described above. At January 31, 2019, we were in compliance with these covenants.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also includes customary events of default, including failure to pay principal, interest, or fees when due, failure to comply with covenants, the occurrence of certain material judgments, or a change in control of the Company. If certain events of default occur, including certain cross-defaults, insolvency, change in control, or violation of specific covenants, the lenders can terminate or suspend our access to the Credit Facility, declare all amounts outstanding (including all accrued interest and unpaid fees) to be immediately due and payable, and require that we cash collateralize the outstanding standby letters of credit.</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Total deferred financing costs related to the Credit Facility were $18.7 million, consisting of $ 13.4 million related to the term loan and $5.2 million related to the line of credit, which are being amortized to interest expense over the term of the Credit Facility.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22"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9"/>
        </w:trPr>
        <w:tc>
          <w:tcPr>
            <w:tcW w:w="7160" w:type="dxa"/>
            <w:vAlign w:val="bottom"/>
            <w:gridSpan w:val="3"/>
          </w:tcPr>
          <w:p>
            <w:pPr>
              <w:spacing w:after="0"/>
              <w:rPr>
                <w:sz w:val="20"/>
                <w:szCs w:val="20"/>
                <w:color w:val="auto"/>
              </w:rPr>
            </w:pPr>
            <w:r>
              <w:rPr>
                <w:rFonts w:ascii="Arial" w:cs="Arial" w:eastAsia="Arial" w:hAnsi="Arial"/>
                <w:sz w:val="18"/>
                <w:szCs w:val="18"/>
                <w:b w:val="1"/>
                <w:bCs w:val="1"/>
                <w:color w:val="0046AD"/>
              </w:rPr>
              <w:t>Credit Facility Information</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27"/>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64"/>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DCE2EF"/>
          </w:tcPr>
          <w:p>
            <w:pPr>
              <w:spacing w:after="0"/>
              <w:rPr>
                <w:sz w:val="22"/>
                <w:szCs w:val="22"/>
                <w:color w:val="auto"/>
              </w:rPr>
            </w:pPr>
          </w:p>
        </w:tc>
        <w:tc>
          <w:tcPr>
            <w:tcW w:w="18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7120" w:type="dxa"/>
            <w:vAlign w:val="bottom"/>
            <w:gridSpan w:val="2"/>
          </w:tcPr>
          <w:p>
            <w:pPr>
              <w:ind w:left="240"/>
              <w:spacing w:after="0"/>
              <w:rPr>
                <w:sz w:val="20"/>
                <w:szCs w:val="20"/>
                <w:color w:val="auto"/>
              </w:rPr>
            </w:pPr>
            <w:r>
              <w:rPr>
                <w:rFonts w:ascii="Arial" w:cs="Arial" w:eastAsia="Arial" w:hAnsi="Arial"/>
                <w:sz w:val="18"/>
                <w:szCs w:val="18"/>
                <w:color w:val="auto"/>
              </w:rPr>
              <w:t>Gross term loan</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0"/>
        </w:trPr>
        <w:tc>
          <w:tcPr>
            <w:tcW w:w="40" w:type="dxa"/>
            <w:vAlign w:val="bottom"/>
            <w:shd w:val="clear" w:color="auto" w:fill="DCE2EF"/>
          </w:tcPr>
          <w:p>
            <w:pPr>
              <w:spacing w:after="0"/>
              <w:rPr>
                <w:sz w:val="23"/>
                <w:szCs w:val="23"/>
                <w:color w:val="auto"/>
              </w:rPr>
            </w:pPr>
          </w:p>
        </w:tc>
        <w:tc>
          <w:tcPr>
            <w:tcW w:w="71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Unamortized deferred financing costs</w:t>
            </w:r>
          </w:p>
        </w:tc>
        <w:tc>
          <w:tcPr>
            <w:tcW w:w="220" w:type="dxa"/>
            <w:vAlign w:val="bottom"/>
            <w:tcBorders>
              <w:bottom w:val="single" w:sz="8" w:color="auto"/>
            </w:tcBorders>
            <w:shd w:val="clear" w:color="auto" w:fill="DCE2EF"/>
          </w:tcPr>
          <w:p>
            <w:pPr>
              <w:spacing w:after="0"/>
              <w:rPr>
                <w:sz w:val="23"/>
                <w:szCs w:val="23"/>
                <w:color w:val="auto"/>
              </w:rPr>
            </w:pPr>
          </w:p>
        </w:tc>
        <w:tc>
          <w:tcPr>
            <w:tcW w:w="1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40" w:type="dxa"/>
            <w:vAlign w:val="bottom"/>
            <w:tcBorders>
              <w:bottom w:val="single" w:sz="8" w:color="DCE2EF"/>
            </w:tcBorders>
          </w:tcPr>
          <w:p>
            <w:pPr>
              <w:spacing w:after="0"/>
              <w:rPr>
                <w:sz w:val="21"/>
                <w:szCs w:val="21"/>
                <w:color w:val="auto"/>
              </w:rPr>
            </w:pPr>
          </w:p>
        </w:tc>
        <w:tc>
          <w:tcPr>
            <w:tcW w:w="7120" w:type="dxa"/>
            <w:vAlign w:val="bottom"/>
            <w:tcBorders>
              <w:bottom w:val="single" w:sz="8" w:color="DCE2EF"/>
            </w:tcBorders>
            <w:gridSpan w:val="2"/>
          </w:tcPr>
          <w:p>
            <w:pPr>
              <w:ind w:left="460"/>
              <w:spacing w:after="0"/>
              <w:rPr>
                <w:sz w:val="20"/>
                <w:szCs w:val="20"/>
                <w:color w:val="auto"/>
              </w:rPr>
            </w:pPr>
            <w:r>
              <w:rPr>
                <w:rFonts w:ascii="Arial" w:cs="Arial" w:eastAsia="Arial" w:hAnsi="Arial"/>
                <w:sz w:val="18"/>
                <w:szCs w:val="18"/>
                <w:color w:val="auto"/>
              </w:rPr>
              <w:t>Current portion of term loan</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DCE2E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r>
      <w:tr>
        <w:trPr>
          <w:trHeight w:val="324"/>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64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71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Gross term loan</w:t>
            </w:r>
          </w:p>
        </w:tc>
        <w:tc>
          <w:tcPr>
            <w:tcW w:w="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725.0</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740.0</w:t>
            </w:r>
          </w:p>
        </w:tc>
      </w:tr>
      <w:tr>
        <w:trPr>
          <w:trHeight w:val="264"/>
        </w:trPr>
        <w:tc>
          <w:tcPr>
            <w:tcW w:w="40" w:type="dxa"/>
            <w:vAlign w:val="bottom"/>
            <w:tcBorders>
              <w:bottom w:val="single" w:sz="8" w:color="DCE2EF"/>
            </w:tcBorders>
          </w:tcPr>
          <w:p>
            <w:pPr>
              <w:spacing w:after="0"/>
              <w:rPr>
                <w:sz w:val="22"/>
                <w:szCs w:val="22"/>
                <w:color w:val="auto"/>
              </w:rPr>
            </w:pPr>
          </w:p>
        </w:tc>
        <w:tc>
          <w:tcPr>
            <w:tcW w:w="71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Unamortized deferred financing costs</w:t>
            </w:r>
          </w:p>
        </w:tc>
        <w:tc>
          <w:tcPr>
            <w:tcW w:w="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40" w:type="dxa"/>
            <w:vAlign w:val="bottom"/>
            <w:shd w:val="clear" w:color="auto" w:fill="DCE2EF"/>
          </w:tcPr>
          <w:p>
            <w:pPr>
              <w:spacing w:after="0"/>
              <w:rPr>
                <w:sz w:val="22"/>
                <w:szCs w:val="22"/>
                <w:color w:val="auto"/>
              </w:rPr>
            </w:pPr>
          </w:p>
        </w:tc>
        <w:tc>
          <w:tcPr>
            <w:tcW w:w="7120" w:type="dxa"/>
            <w:vAlign w:val="bottom"/>
            <w:gridSpan w:val="2"/>
            <w:shd w:val="clear" w:color="auto" w:fill="DCE2EF"/>
          </w:tcPr>
          <w:p>
            <w:pPr>
              <w:ind w:left="460"/>
              <w:spacing w:after="0"/>
              <w:rPr>
                <w:sz w:val="20"/>
                <w:szCs w:val="20"/>
                <w:color w:val="auto"/>
              </w:rPr>
            </w:pPr>
            <w:r>
              <w:rPr>
                <w:rFonts w:ascii="Arial" w:cs="Arial" w:eastAsia="Arial" w:hAnsi="Arial"/>
                <w:sz w:val="18"/>
                <w:szCs w:val="18"/>
                <w:color w:val="auto"/>
              </w:rPr>
              <w:t>Total noncurrent portion of term loan</w:t>
            </w:r>
          </w:p>
        </w:tc>
        <w:tc>
          <w:tcPr>
            <w:tcW w:w="220" w:type="dxa"/>
            <w:vAlign w:val="bottom"/>
            <w:shd w:val="clear" w:color="auto" w:fill="DCE2EF"/>
          </w:tcPr>
          <w:p>
            <w:pPr>
              <w:spacing w:after="0"/>
              <w:rPr>
                <w:sz w:val="22"/>
                <w:szCs w:val="22"/>
                <w:color w:val="auto"/>
              </w:rPr>
            </w:pPr>
          </w:p>
        </w:tc>
        <w:tc>
          <w:tcPr>
            <w:tcW w:w="18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718.8</w:t>
            </w: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733.1</w:t>
            </w:r>
          </w:p>
        </w:tc>
      </w:tr>
      <w:tr>
        <w:trPr>
          <w:trHeight w:val="270"/>
        </w:trPr>
        <w:tc>
          <w:tcPr>
            <w:tcW w:w="40" w:type="dxa"/>
            <w:vAlign w:val="bottom"/>
            <w:tcBorders>
              <w:bottom w:val="single" w:sz="8" w:color="DCE2EF"/>
            </w:tcBorders>
          </w:tcPr>
          <w:p>
            <w:pPr>
              <w:spacing w:after="0"/>
              <w:rPr>
                <w:sz w:val="23"/>
                <w:szCs w:val="23"/>
                <w:color w:val="auto"/>
              </w:rPr>
            </w:pPr>
          </w:p>
        </w:tc>
        <w:tc>
          <w:tcPr>
            <w:tcW w:w="71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Line of credit</w:t>
            </w:r>
            <w:r>
              <w:rPr>
                <w:rFonts w:ascii="Arial" w:cs="Arial" w:eastAsia="Arial" w:hAnsi="Arial"/>
                <w:sz w:val="21"/>
                <w:szCs w:val="21"/>
                <w:color w:val="auto"/>
                <w:vertAlign w:val="superscript"/>
              </w:rPr>
              <w:t>(1)(2)</w:t>
            </w: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DCE2E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169.0</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1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945.8</w:t>
            </w:r>
          </w:p>
        </w:tc>
        <w:tc>
          <w:tcPr>
            <w:tcW w:w="10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8890</wp:posOffset>
            </wp:positionV>
            <wp:extent cx="2693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180" w:hanging="172"/>
        <w:spacing w:after="0" w:line="222"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Standby letters of credit amounted to $152.4 million at January 31, 2019.</w:t>
      </w:r>
    </w:p>
    <w:p>
      <w:pPr>
        <w:spacing w:after="0" w:line="76" w:lineRule="exact"/>
        <w:rPr>
          <w:rFonts w:ascii="Arial" w:cs="Arial" w:eastAsia="Arial" w:hAnsi="Arial"/>
          <w:sz w:val="21"/>
          <w:szCs w:val="21"/>
          <w:color w:val="auto"/>
          <w:vertAlign w:val="superscript"/>
        </w:rPr>
      </w:pPr>
    </w:p>
    <w:p>
      <w:pPr>
        <w:ind w:left="180" w:hanging="172"/>
        <w:spacing w:after="0" w:line="219"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At January 31, 2019, we had borrowing capacity of $410.2 million; however, covenant restrictions limited our borrowing capacity to $352.5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Term Loan Maturities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first quarter of 2019, we made $10.0 million of principal payments under the term loan. As of January 31, 2019, the following principal payments are required under the term loan.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28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602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Debt maturities</w:t>
            </w: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our Credit Facility. Under these arrangements, we typically pay a fixed interest rate in exchange for LIBOR-based variable interest throughout the life of the agreement. We initially report the mark-to-market gain or loss on a derivative as a component of AOCI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6, “Fair Value of Financial Instruments,” regarding the valuation of our interest rate swaps.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Notional Amounts</w:t>
            </w:r>
          </w:p>
        </w:tc>
        <w:tc>
          <w:tcPr>
            <w:tcW w:w="120" w:type="dxa"/>
            <w:vAlign w:val="bottom"/>
            <w:tcBorders>
              <w:bottom w:val="single" w:sz="8" w:color="DCE2EF"/>
            </w:tcBorders>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Fixed Interest Rates</w:t>
            </w:r>
          </w:p>
        </w:tc>
        <w:tc>
          <w:tcPr>
            <w:tcW w:w="100" w:type="dxa"/>
            <w:vAlign w:val="bottom"/>
            <w:tcBorders>
              <w:bottom w:val="single" w:sz="8" w:color="DCE2EF"/>
            </w:tcBorders>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Effective Dates</w:t>
            </w:r>
          </w:p>
        </w:tc>
        <w:tc>
          <w:tcPr>
            <w:tcW w:w="100" w:type="dxa"/>
            <w:vAlign w:val="bottom"/>
            <w:tcBorders>
              <w:bottom w:val="single" w:sz="8" w:color="DCE2EF"/>
            </w:tcBorders>
          </w:tcPr>
          <w:p>
            <w:pPr>
              <w:spacing w:after="0"/>
              <w:rPr>
                <w:sz w:val="21"/>
                <w:szCs w:val="21"/>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 Dates</w:t>
            </w:r>
          </w:p>
        </w:tc>
      </w:tr>
      <w:tr>
        <w:trPr>
          <w:trHeight w:val="257"/>
        </w:trPr>
        <w:tc>
          <w:tcPr>
            <w:tcW w:w="3000" w:type="dxa"/>
            <w:vAlign w:val="bottom"/>
            <w:gridSpan w:val="2"/>
            <w:shd w:val="clear" w:color="auto" w:fill="DCE2EF"/>
          </w:tcPr>
          <w:p>
            <w:pPr>
              <w:jc w:val="center"/>
              <w:ind w:right="140"/>
              <w:spacing w:after="0"/>
              <w:rPr>
                <w:sz w:val="20"/>
                <w:szCs w:val="20"/>
                <w:color w:val="auto"/>
              </w:rPr>
            </w:pPr>
            <w:r>
              <w:rPr>
                <w:rFonts w:ascii="Arial" w:cs="Arial" w:eastAsia="Arial" w:hAnsi="Arial"/>
                <w:sz w:val="18"/>
                <w:szCs w:val="18"/>
                <w:color w:val="auto"/>
                <w:w w:val="99"/>
              </w:rPr>
              <w:t>$ 90.0 million</w:t>
            </w:r>
          </w:p>
        </w:tc>
        <w:tc>
          <w:tcPr>
            <w:tcW w:w="27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DCE2EF"/>
          </w:tcPr>
          <w:p>
            <w:pPr>
              <w:spacing w:after="0"/>
              <w:rPr>
                <w:sz w:val="22"/>
                <w:szCs w:val="22"/>
                <w:color w:val="auto"/>
              </w:rPr>
            </w:pPr>
          </w:p>
        </w:tc>
        <w:tc>
          <w:tcPr>
            <w:tcW w:w="28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April 30, 2021</w:t>
            </w:r>
          </w:p>
        </w:tc>
      </w:tr>
      <w:tr>
        <w:trPr>
          <w:trHeight w:val="263"/>
        </w:trPr>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$ 90.0 million</w:t>
            </w:r>
          </w:p>
        </w:tc>
        <w:tc>
          <w:tcPr>
            <w:tcW w:w="274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tcPr>
          <w:p>
            <w:pPr>
              <w:jc w:val="center"/>
              <w:spacing w:after="0"/>
              <w:rPr>
                <w:sz w:val="20"/>
                <w:szCs w:val="20"/>
                <w:color w:val="auto"/>
              </w:rPr>
            </w:pPr>
            <w:r>
              <w:rPr>
                <w:rFonts w:ascii="Arial" w:cs="Arial" w:eastAsia="Arial" w:hAnsi="Arial"/>
                <w:sz w:val="18"/>
                <w:szCs w:val="18"/>
                <w:color w:val="auto"/>
              </w:rPr>
              <w:t>October 31, 2021</w:t>
            </w:r>
          </w:p>
        </w:tc>
      </w:tr>
      <w:tr>
        <w:trPr>
          <w:trHeight w:val="277"/>
        </w:trPr>
        <w:tc>
          <w:tcPr>
            <w:tcW w:w="300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DCE2EF"/>
          </w:tcPr>
          <w:p>
            <w:pPr>
              <w:spacing w:after="0"/>
              <w:rPr>
                <w:sz w:val="24"/>
                <w:szCs w:val="24"/>
                <w:color w:val="auto"/>
              </w:rPr>
            </w:pPr>
          </w:p>
        </w:tc>
        <w:tc>
          <w:tcPr>
            <w:tcW w:w="28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April 30, 2022</w:t>
            </w:r>
          </w:p>
        </w:tc>
      </w:tr>
      <w:tr>
        <w:trPr>
          <w:trHeight w:val="257"/>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4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September 1, 2022</w:t>
            </w:r>
          </w:p>
        </w:tc>
      </w:tr>
    </w:tbl>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January 31, 2019 and October 31, 2018, amounts recorded in AOCI for interest rate swaps were $11.5 million, net of taxes of $ 4.7 million, and $ 17.8 million, net of taxes of $7.1 million, respectively. These amounts included the gain associated with the interest rate swaps we terminated in 2018, which is being amortized to interest expense as interest payments are made over the term of our Credit Facility. During the three months ended January 31, 2019, we amortized $1.0 million of this gain, net of taxes of $0.4 million, to interest expense. At January 31, 2019, the total amount expected to be reclassified from AOCI to earnings during the next twelve months was $2.8 million, net of taxes of $1.2 million.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046AD"/>
        </w:rPr>
        <w:t>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January 31, 2019, these letters of credit and surety bonds totaled $152.4 million and $463.6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January 31, 2019, total guarantees were $179.5 million and extend through 2038.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2021. Annual revenues relating to the 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 Audits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paid on their behalf, in some cases we are entitled to seek a refund of that amount of sales tax from the applicable state.</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Sales tax laws and regulations enacted by the various states are subject to interpretation, and our compliance with such laws is routinely subject to audit and review by such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At January 31, 2019, the total amount accrued for all probable litigation losses where a reasonable estimate of the loss could be made was $12.1 million. This $12.1 million includes accruals of $3.3 million in connection with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and $5.4 million in connection with the </w:t>
      </w:r>
      <w:r>
        <w:rPr>
          <w:rFonts w:ascii="Arial" w:cs="Arial" w:eastAsia="Arial" w:hAnsi="Arial"/>
          <w:sz w:val="18"/>
          <w:szCs w:val="18"/>
          <w:i w:val="1"/>
          <w:iCs w:val="1"/>
          <w:color w:val="auto"/>
        </w:rPr>
        <w:t>Castro</w:t>
      </w:r>
      <w:r>
        <w:rPr>
          <w:rFonts w:ascii="Arial" w:cs="Arial" w:eastAsia="Arial" w:hAnsi="Arial"/>
          <w:sz w:val="18"/>
          <w:szCs w:val="18"/>
          <w:color w:val="auto"/>
        </w:rPr>
        <w:t xml:space="preserve"> case, which amounts were previously accrued and are discussed further below.</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$6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5" w:name="page26"/>
    <w:bookmarkEnd w:id="25"/>
    <w:p>
      <w:pPr>
        <w:jc w:val="both"/>
        <w:ind w:firstLine="648"/>
        <w:spacing w:after="0" w:line="26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88"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(“PAGA”).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20, 2018, the trial court entered an order defining four certified subclasses of janitors who were employed by the legacy ABM janitorial companies in California at any time between April 7, 2002 and April 30, 2013, on claims based on previous automatic deduction practices for meal breaks, unpaid meal premiums, unpaid split shift premiums, and unreimbursed business expenses, such as mileage reimbursement for use of personal vehicles to travel between worksites. On February 1, 2019, the Superior Court held that the discovery related to PAGA claims allegedly arising after April 30, 2013 would be stayed until after the class and PAGA claims accruing prior to April 30, 2013 had been tried. This matter has not been set for trial. Prior to trial, we will have the opportunity to move for summary judgment, seek decertification of the classes, or mediate, if we deem such actions appropriate.</w:t>
      </w:r>
    </w:p>
    <w:p>
      <w:pPr>
        <w:spacing w:after="0" w:line="189"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 xml:space="preserve">Hussein and Hirsi v. Air Serv Corporation filed on January 20, 2016, pending in the United States District Court for the Western District of Washington at Seattle (the “Hussein case”) </w:t>
      </w:r>
      <w:r>
        <w:rPr>
          <w:rFonts w:ascii="Arial" w:cs="Arial" w:eastAsia="Arial" w:hAnsi="Arial"/>
          <w:sz w:val="18"/>
          <w:szCs w:val="18"/>
          <w:color w:val="auto"/>
        </w:rPr>
        <w:t>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Isse et al. v. Air Serv Corporation filed on February 7, 2017 in the Superior Court of Washington for King County (the “Isse case”)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was a certified class action involving a class of certain hourly Air Serv employees at Seattle-Tacoma International Airport in SeaTac, Washington. The plaintiffs alleged that Air Serv violated a minimum wage requirement in an ordinance applicable to certain employers in the local city of SeaTac (the “Ordinance”). Plaintiffs sought retroactive wages, double damages, interest, and attorneys’ fees. This matter was removed to federal court. In a separate lawsuit brought by Filo Foods, LLC, Alaska Airlines, and several other employers at SeaTac Airport, the King County Superior Court (the “Superior Court”) issued a decision that invalidated the Ordinance as it applied to workers at SeaTac Airport. Subsequently, the Washington Supreme Court reversed the Superior Court’s decision. On February 7, 2017,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was filed against Air Serv on behalf of 60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alleged failure to comply with both the minimum wage provision and the sick and safe time provision of the Ordinance.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sought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later expanded to approximately 220 individual plaintiffs.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44" w:right="239" w:bottom="1440" w:gutter="0" w:footer="0" w:header="0"/>
        </w:sectPr>
      </w:pPr>
    </w:p>
    <w:bookmarkStart w:id="26" w:name="page27"/>
    <w:bookmarkEnd w:id="26"/>
    <w:p>
      <w:pPr>
        <w:jc w:val="both"/>
        <w:ind w:firstLine="648"/>
        <w:spacing w:after="0" w:line="261" w:lineRule="auto"/>
        <w:rPr>
          <w:sz w:val="20"/>
          <w:szCs w:val="20"/>
          <w:color w:val="auto"/>
        </w:rPr>
      </w:pPr>
      <w:r>
        <w:rPr>
          <w:rFonts w:ascii="Arial" w:cs="Arial" w:eastAsia="Arial" w:hAnsi="Arial"/>
          <w:sz w:val="18"/>
          <w:szCs w:val="18"/>
          <w:color w:val="auto"/>
        </w:rPr>
        <w:t xml:space="preserve">In mediations on November 2 and 3, 2017, and without admitting liability in either matter, we agreed to settle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and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cases for a combined total of $8.3 million, inclusive of damages, interest, attorneys’ fees, and employer payroll taxes. On December 8, 2017, the Superior Court approved the settlement agreement for the 220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and we subsequently made a settlement payment of $4.5 million to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in January 2018.</w:t>
      </w:r>
    </w:p>
    <w:p>
      <w:pPr>
        <w:spacing w:after="0" w:line="1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On July 30, 2018, the United States District Court for the Western District of Washington at Seattle preliminarily approved the settlement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At the final approval hearing on December 4, 2018, the court (i) accepted opt-out notices from 78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members (the “opt-out members”) indicating their intent to participate in separate lawsuits (leaving 386 class members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(ii) directed the parties to recalculate the settlement amount by deducting the settlement funds attributable to the 78 opt-out members, and (iii) requested other minor changes, but indicated that the court intended to grant final approval of the settlement with these changes. On December 20, 2018, the court issued its order granting final approval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action settlement in the amount of $2.1 million. The </w:t>
      </w:r>
      <w:r>
        <w:rPr>
          <w:rFonts w:ascii="Arial" w:cs="Arial" w:eastAsia="Arial" w:hAnsi="Arial"/>
          <w:sz w:val="18"/>
          <w:szCs w:val="18"/>
          <w:i w:val="1"/>
          <w:iCs w:val="1"/>
          <w:color w:val="auto"/>
        </w:rPr>
        <w:t xml:space="preserve">Hussein </w:t>
      </w:r>
      <w:r>
        <w:rPr>
          <w:rFonts w:ascii="Arial" w:cs="Arial" w:eastAsia="Arial" w:hAnsi="Arial"/>
          <w:sz w:val="18"/>
          <w:szCs w:val="18"/>
          <w:color w:val="auto"/>
        </w:rPr>
        <w:t>settlement funds were distributed to the class on March 6, 2019. In January 2019, we reached a tentative agreement to resolve the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of the opt-out members for $1.2 million.</w:t>
      </w:r>
    </w:p>
    <w:p>
      <w:pPr>
        <w:spacing w:after="0" w:line="18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Castro and Marmolejo v. ABM Industries, Inc., et al., filed on October 24, 2014, pending in the United States District Court for the Northern District of California (the “Castro case”)</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October 24, 2014, Plaintiff Marley Castro filed a class action lawsuit alleging that ABM did not reimburse janitorial employees in California for using their personal cell phones for work-related purposes, in violation of California Labor Code section 2802. On January 23, 2015, Plaintiff Lucia Marmolejo was added to the case as a named plaintiff. On October 27, 2017, plaintiffs moved for class certification seeking to represent a class of all employees who were, are, or will be employed by ABM in the State of California with the Employee Master Job Description Code “Cleaner” (hereafter referred to as “Cleaner Employees”) beginning from October 24, 2010. ABM filed its opposition to class certification on November 27, 2017. On January 26, 2018, the district court granted plaintiffs’ motion for class certification. The court rejected plaintiffs’ proposed class, instead certifying three classes that the court formulated on its own: (1) all employees who were, are, or will be employed by ABM in the State of California as Cleaner Employees who used a personal cell phone to punch in and out of the EPAY system and who (a) worked at an ABM facility that did not provide a biometric clock and (b) were not offered an ABM-provided cell phone during the period beginning on January 1, 2012, through the date of notice to the Class Members that a class has been certified in this action; (2) all employees who were, are, or will be employed by ABM in the State of California as Cleaner Employees who used a personal cell phone to report unusual or suspicious circumstances to supervisors and were not offered (a) an ABM-provided cell phone or (b) a two-way radio during the period beginning four years prior to the filing of the original complaint, October 24, 2014, through the date of notice to the Class Members that a class has been certified in this action; and (3) all employees who were, are, or will be employed by ABM in the State of California as Cleaner Employees who used a personal cell phone to respond to communications from supervisors and were not offered (a) an ABM-provided cell phone or (b) a two-way radio during the period beginning four years prior to the filing of the original complaint, October 24, 2014, through the date of notice to the Class Members that a class has been certified in this action.</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February 9, 2018, ABM filed a petition for permission to appeal the district court’s order granting class certification with the United States Court of Appeals for the Ninth Circuit, which was denied on April 30, 2018. On March 20, 2018, ABM moved to compel arbitration of the claims of certain class members pursuant to the terms of three collective bargaining agreements. In response to that motion, on May 14, 2018, the district court modified the class definition to exclude all claims arising after the operative date(s) of the applicable collective bargaining agreements (which is June 1, 2016 for one agreement and May 1, 2016 for the other two agreements). However, the district court denied the motion to compel arbitration as to claims that arose prior to the operative date(s) of the applicable collective bargaining agreements. ABM has appealed to the Ninth Circuit the district court’s order denying the motion to compel arbitration with respect to the periods preceding the operative dates of the collective bargaining agreements.</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After a court-ordered mediation held on October 15, 2018, the parties agreed to a class action settlement of $5.4 million, subject to court approval. The plaintiffs’ motion for preliminary approval of the settlement was filed on January 4, 2019, and the court held a hearing on the motion on February 12, 2019. On February 14, 2019, the court granted preliminary approval of the settlement. In connection with the settlement, we modified our existing written policies for California to expressly confirm that ABM service workers are not required to use personal cell phones for work purposes and began centralizing the process and implementing technology for such employees to request reimbursement for personal cell phone use due to work. A hearing on final approval of the settlement is scheduled to be held on August 20, 2019.</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46AD"/>
        </w:rPr>
        <w:t>10.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December 22, 2017, the Tax Act was enacted into law, which, among other provisions, reduced the federal corporate income tax rate from 35% to 21% and required companies to pay a one-time transition tax on the deemed repatriation of indefinitely reinvested earnings of international subsidiaries. Since we have an October 31 fiscal year-end, the lower corporate income tax rate was phased in, resulting in a U.S. statutory federal rate of 23.3% for fiscal 2018 and 21% for subsequent fiscal years. Other provisions under the Tax Act became effective for us in fiscal 2019, including limitations on deductibility of interest and executive compensation as well as a new minimum tax on Global Intangible Low-Taxed Income (“GILTI”), which we have elected to account for as a period cost.</w:t>
      </w:r>
    </w:p>
    <w:p>
      <w:pPr>
        <w:spacing w:after="0" w:line="15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Due to the complexities of implementing the provisions of the Tax Act, the staff of the U.S. Securities and Exchange Commission issued Staff Accounting Bulletin 118 to provide guidance on accounting for the tax effects of the Tax Act and permitted companies to record provisional amounts during a measurement period not to exceed one year from the enactment date. During the first quarter of 2018, we remeasured certain deferred tax assets and liabilities based on the new tax rates at which they were expected to reverse in the future and recorded a provisional one-time tax benefit of $28.7 million related to this remeasurement. In addition, we recorded a provisional expense of $7.0 million for the one-time transition tax on the deemed repatriation of indefinitely reinvested earnings of our international subsidiaries. We completed our analysis of the impacts of these provisions under the Tax Act as of October 31, 2018, and recorded adjustments during the fourth quarter of 2018 that (i) increased the benefit to $29.6 million for the remeasurement of certain deferred tax assets and liabilities and (ii) decreased the expense to $4.5 million for the one-time transition tax on the deemed repatriation of indefinitely reinvested earnings of our international subsidiaries. We plan to reinvest our foreign earnings to fund future non-U.S. growth and expansion, and we do not anticipate remitting such earnings to the United States. While U.S. federal tax expense has been recognized as a result of the Tax Act, no deferred tax liabilities with respect to federal and state income taxes or foreign withholding taxes have been recognized.</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quarterly provision for income taxes from continuing operations is calculated using an estimated annual effective income tax rate, which is adjusted for discrete items that occur during the reporting period. Our income taxes for the three months ended January 31, 2019 increased by $0.7 million due to certain reserves and decreased by $0.5 million of excess tax benefits related to the vesting of share-based compensation awards.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January 31, 2018, we had an income tax benefit on income from continuing operations of $22.2 million, primarily due to a net discrete tax benefit of $21.7 million related to provisional amounts recorded under the Tax Act and $1.5 million of excess tax benefits related to the vesting of share-based compensation awards.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2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46AD"/>
        </w:rPr>
        <w:t>11.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reportable segments consist of B&amp;I, Aviation, T&amp;M, Education, Technical Solutions, and Healthcare, as further described below. Refer to Note 2, “Basis of Presentation and Significant Accounting Policies,” for information related to the modification in our presentation of inter-segment revenues.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220" w:type="dxa"/>
            <w:vAlign w:val="bottom"/>
            <w:tcBorders>
              <w:top w:val="single" w:sz="8" w:color="auto"/>
              <w:left w:val="single" w:sz="8" w:color="auto"/>
              <w:bottom w:val="single" w:sz="8" w:color="auto"/>
              <w:right w:val="single" w:sz="8" w:color="DCE2EF"/>
            </w:tcBorders>
            <w:shd w:val="clear" w:color="auto" w:fill="DCE2EF"/>
          </w:tcPr>
          <w:p>
            <w:pPr>
              <w:spacing w:after="0"/>
              <w:rPr>
                <w:sz w:val="22"/>
                <w:szCs w:val="22"/>
                <w:color w:val="auto"/>
              </w:rPr>
            </w:pPr>
          </w:p>
        </w:tc>
        <w:tc>
          <w:tcPr>
            <w:tcW w:w="8200" w:type="dxa"/>
            <w:vAlign w:val="bottom"/>
            <w:tcBorders>
              <w:top w:val="single" w:sz="8" w:color="auto"/>
              <w:bottom w:val="single" w:sz="8" w:color="auto"/>
              <w:right w:val="single" w:sz="8" w:color="auto"/>
            </w:tcBorders>
            <w:shd w:val="clear" w:color="auto" w:fill="DCE2EF"/>
          </w:tcPr>
          <w:p>
            <w:pPr>
              <w:ind w:left="440"/>
              <w:spacing w:after="0"/>
              <w:rPr>
                <w:sz w:val="20"/>
                <w:szCs w:val="20"/>
                <w:color w:val="auto"/>
              </w:rPr>
            </w:pPr>
            <w:r>
              <w:rPr>
                <w:rFonts w:ascii="Arial" w:cs="Arial" w:eastAsia="Arial" w:hAnsi="Arial"/>
                <w:sz w:val="18"/>
                <w:szCs w:val="18"/>
                <w:b w:val="1"/>
                <w:bCs w:val="1"/>
                <w:color w:val="0046AD"/>
              </w:rPr>
              <w:t>REPORTABLE SEGMENTS AND DESCRIPTIONS</w:t>
            </w:r>
          </w:p>
        </w:tc>
        <w:tc>
          <w:tcPr>
            <w:tcW w:w="0" w:type="dxa"/>
            <w:vAlign w:val="bottom"/>
          </w:tcPr>
          <w:p>
            <w:pPr>
              <w:spacing w:after="0"/>
              <w:rPr>
                <w:sz w:val="1"/>
                <w:szCs w:val="1"/>
                <w:color w:val="auto"/>
              </w:rPr>
            </w:pPr>
          </w:p>
        </w:tc>
      </w:tr>
      <w:tr>
        <w:trPr>
          <w:trHeight w:val="337"/>
        </w:trPr>
        <w:tc>
          <w:tcPr>
            <w:tcW w:w="3220" w:type="dxa"/>
            <w:vAlign w:val="bottom"/>
            <w:tcBorders>
              <w:left w:val="single" w:sz="8" w:color="auto"/>
              <w:right w:val="single" w:sz="8" w:color="auto"/>
            </w:tcBorders>
          </w:tcPr>
          <w:p>
            <w:pPr>
              <w:spacing w:after="0"/>
              <w:rPr>
                <w:sz w:val="24"/>
                <w:szCs w:val="24"/>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B&amp;I, our largest reportable segment, encompasses janitorial, facilities engineering, and parking</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B&amp;I</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services for commercial real estate properties and sports and entertainment venues. B&amp;I also</w:t>
            </w:r>
          </w:p>
        </w:tc>
        <w:tc>
          <w:tcPr>
            <w:tcW w:w="0" w:type="dxa"/>
            <w:vAlign w:val="bottom"/>
          </w:tcPr>
          <w:p>
            <w:pPr>
              <w:spacing w:after="0"/>
              <w:rPr>
                <w:sz w:val="1"/>
                <w:szCs w:val="1"/>
                <w:color w:val="auto"/>
              </w:rPr>
            </w:pPr>
          </w:p>
        </w:tc>
      </w:tr>
      <w:tr>
        <w:trPr>
          <w:trHeight w:val="217"/>
        </w:trPr>
        <w:tc>
          <w:tcPr>
            <w:tcW w:w="3220" w:type="dxa"/>
            <w:vAlign w:val="bottom"/>
            <w:tcBorders>
              <w:left w:val="single" w:sz="8" w:color="auto"/>
              <w:right w:val="single" w:sz="8" w:color="auto"/>
            </w:tcBorders>
          </w:tcPr>
          <w:p>
            <w:pPr>
              <w:spacing w:after="0"/>
              <w:rPr>
                <w:sz w:val="18"/>
                <w:szCs w:val="18"/>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provides vehicle maintenance and other services to rental car providers.</w:t>
            </w: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Aviation</w:t>
            </w: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Aviation supports airlines and airports with services ranging from parking and janitorial to passenger</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right w:val="single" w:sz="8" w:color="auto"/>
            </w:tcBorders>
            <w:vMerge w:val="continue"/>
          </w:tcPr>
          <w:p>
            <w:pPr>
              <w:spacing w:after="0"/>
              <w:rPr>
                <w:sz w:val="9"/>
                <w:szCs w:val="9"/>
                <w:color w:val="auto"/>
              </w:rPr>
            </w:pPr>
          </w:p>
        </w:tc>
        <w:tc>
          <w:tcPr>
            <w:tcW w:w="8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assistance, catering logistics, air cabin maintenance, and transportation.</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8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T&amp;M</w:t>
            </w: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T&amp;M provides janitorial, facilities engineering, and parking services to industrial and high-tech</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right w:val="single" w:sz="8" w:color="auto"/>
            </w:tcBorders>
            <w:vMerge w:val="continue"/>
          </w:tcPr>
          <w:p>
            <w:pPr>
              <w:spacing w:after="0"/>
              <w:rPr>
                <w:sz w:val="9"/>
                <w:szCs w:val="9"/>
                <w:color w:val="auto"/>
              </w:rPr>
            </w:pPr>
          </w:p>
        </w:tc>
        <w:tc>
          <w:tcPr>
            <w:tcW w:w="8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manufacturing facilities.</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8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Education</w:t>
            </w: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Education delivers janitorial, custodial, landscaping and grounds, facilities engineering, and parking</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right w:val="single" w:sz="8" w:color="auto"/>
            </w:tcBorders>
            <w:vMerge w:val="continue"/>
          </w:tcPr>
          <w:p>
            <w:pPr>
              <w:spacing w:after="0"/>
              <w:rPr>
                <w:sz w:val="9"/>
                <w:szCs w:val="9"/>
                <w:color w:val="auto"/>
              </w:rPr>
            </w:pPr>
          </w:p>
        </w:tc>
        <w:tc>
          <w:tcPr>
            <w:tcW w:w="8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services for public school districts, private schools, colleges, and universities.</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8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Technical Solutions</w:t>
            </w: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Technical Solutions specializes in mechanical and electrical services. These services can also be</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right w:val="single" w:sz="8" w:color="auto"/>
            </w:tcBorders>
            <w:vMerge w:val="continue"/>
          </w:tcPr>
          <w:p>
            <w:pPr>
              <w:spacing w:after="0"/>
              <w:rPr>
                <w:sz w:val="9"/>
                <w:szCs w:val="9"/>
                <w:color w:val="auto"/>
              </w:rPr>
            </w:pPr>
          </w:p>
        </w:tc>
        <w:tc>
          <w:tcPr>
            <w:tcW w:w="8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8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left w:val="single" w:sz="8" w:color="auto"/>
              <w:right w:val="single" w:sz="8" w:color="auto"/>
            </w:tcBorders>
          </w:tcPr>
          <w:p>
            <w:pPr>
              <w:spacing w:after="0"/>
              <w:rPr>
                <w:sz w:val="24"/>
                <w:szCs w:val="24"/>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Healthcare offers janitorial, facilities management, clinical engineering, food and nutrition, laundry and</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Healthcare</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linen, parking and guest services, and patient transportation services at traditional hospitals and non-</w:t>
            </w:r>
          </w:p>
        </w:tc>
        <w:tc>
          <w:tcPr>
            <w:tcW w:w="0" w:type="dxa"/>
            <w:vAlign w:val="bottom"/>
          </w:tcPr>
          <w:p>
            <w:pPr>
              <w:spacing w:after="0"/>
              <w:rPr>
                <w:sz w:val="1"/>
                <w:szCs w:val="1"/>
                <w:color w:val="auto"/>
              </w:rPr>
            </w:pPr>
          </w:p>
        </w:tc>
      </w:tr>
      <w:tr>
        <w:trPr>
          <w:trHeight w:val="217"/>
        </w:trPr>
        <w:tc>
          <w:tcPr>
            <w:tcW w:w="3220" w:type="dxa"/>
            <w:vAlign w:val="bottom"/>
            <w:tcBorders>
              <w:left w:val="single" w:sz="8" w:color="auto"/>
              <w:right w:val="single" w:sz="8" w:color="auto"/>
            </w:tcBorders>
          </w:tcPr>
          <w:p>
            <w:pPr>
              <w:spacing w:after="0"/>
              <w:rPr>
                <w:sz w:val="18"/>
                <w:szCs w:val="18"/>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acute facilities.</w:t>
            </w: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3220" w:type="dxa"/>
            <w:vAlign w:val="bottom"/>
          </w:tcPr>
          <w:p>
            <w:pPr>
              <w:spacing w:after="0"/>
              <w:rPr>
                <w:sz w:val="24"/>
                <w:szCs w:val="24"/>
                <w:color w:val="auto"/>
              </w:rPr>
            </w:pPr>
          </w:p>
        </w:tc>
        <w:tc>
          <w:tcPr>
            <w:tcW w:w="8200" w:type="dxa"/>
            <w:vAlign w:val="bottom"/>
          </w:tcPr>
          <w:p>
            <w:pPr>
              <w:ind w:left="24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293"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28575</wp:posOffset>
            </wp:positionV>
            <wp:extent cx="2830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520" w:type="dxa"/>
            <w:vAlign w:val="bottom"/>
          </w:tcPr>
          <w:p>
            <w:pPr>
              <w:spacing w:after="0"/>
              <w:rPr>
                <w:sz w:val="18"/>
                <w:szCs w:val="18"/>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200" w:type="dxa"/>
            <w:vAlign w:val="bottom"/>
            <w:tcBorders>
              <w:bottom w:val="single" w:sz="8" w:color="DCE2E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94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DCE2EF"/>
          </w:tcPr>
          <w:p>
            <w:pPr>
              <w:spacing w:after="0"/>
              <w:rPr>
                <w:sz w:val="22"/>
                <w:szCs w:val="22"/>
                <w:color w:val="auto"/>
              </w:rPr>
            </w:pPr>
          </w:p>
        </w:tc>
        <w:tc>
          <w:tcPr>
            <w:tcW w:w="1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500" w:type="dxa"/>
            <w:vAlign w:val="bottom"/>
            <w:shd w:val="clear" w:color="auto" w:fill="DCE2EF"/>
          </w:tcPr>
          <w:p>
            <w:pPr>
              <w:spacing w:after="0"/>
              <w:rPr>
                <w:sz w:val="22"/>
                <w:szCs w:val="22"/>
                <w:color w:val="auto"/>
              </w:rPr>
            </w:pPr>
          </w:p>
        </w:tc>
        <w:tc>
          <w:tcPr>
            <w:tcW w:w="166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Business &amp; Industry</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77"/>
        </w:trPr>
        <w:tc>
          <w:tcPr>
            <w:tcW w:w="69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Aviation</w:t>
            </w:r>
          </w:p>
        </w:tc>
        <w:tc>
          <w:tcPr>
            <w:tcW w:w="52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63"/>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Technology &amp; Manufacturing</w:t>
            </w:r>
          </w:p>
        </w:tc>
        <w:tc>
          <w:tcPr>
            <w:tcW w:w="52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77"/>
        </w:trPr>
        <w:tc>
          <w:tcPr>
            <w:tcW w:w="69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Education</w:t>
            </w:r>
          </w:p>
        </w:tc>
        <w:tc>
          <w:tcPr>
            <w:tcW w:w="52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204.7</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63"/>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Technical Solutions</w:t>
            </w:r>
          </w:p>
        </w:tc>
        <w:tc>
          <w:tcPr>
            <w:tcW w:w="52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7"/>
        </w:trPr>
        <w:tc>
          <w:tcPr>
            <w:tcW w:w="69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Healthcare</w:t>
            </w:r>
          </w:p>
        </w:tc>
        <w:tc>
          <w:tcPr>
            <w:tcW w:w="52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Elimination of inter-segment revenues</w:t>
            </w: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DCE2E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00" w:type="dxa"/>
            <w:vAlign w:val="bottom"/>
            <w:tcBorders>
              <w:bottom w:val="single" w:sz="8" w:color="DCE2EF"/>
            </w:tcBorders>
            <w:shd w:val="clear" w:color="auto" w:fill="DCE2EF"/>
          </w:tcPr>
          <w:p>
            <w:pPr>
              <w:spacing w:after="0"/>
              <w:rPr>
                <w:sz w:val="21"/>
                <w:szCs w:val="21"/>
                <w:color w:val="auto"/>
              </w:rPr>
            </w:pPr>
          </w:p>
        </w:tc>
        <w:tc>
          <w:tcPr>
            <w:tcW w:w="6200" w:type="dxa"/>
            <w:vAlign w:val="bottom"/>
            <w:tcBorders>
              <w:bottom w:val="single" w:sz="8" w:color="DCE2EF"/>
            </w:tcBorders>
            <w:shd w:val="clear" w:color="auto" w:fill="DCE2EF"/>
          </w:tcPr>
          <w:p>
            <w:pPr>
              <w:spacing w:after="0"/>
              <w:rPr>
                <w:sz w:val="21"/>
                <w:szCs w:val="21"/>
                <w:color w:val="auto"/>
              </w:rPr>
            </w:pPr>
          </w:p>
        </w:tc>
        <w:tc>
          <w:tcPr>
            <w:tcW w:w="520" w:type="dxa"/>
            <w:vAlign w:val="bottom"/>
            <w:tcBorders>
              <w:bottom w:val="single" w:sz="8" w:color="auto"/>
            </w:tcBorders>
            <w:shd w:val="clear" w:color="auto" w:fill="DCE2E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1,607.9</w:t>
            </w:r>
          </w:p>
        </w:tc>
        <w:tc>
          <w:tcPr>
            <w:tcW w:w="12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auto"/>
            </w:tcBorders>
            <w:shd w:val="clear" w:color="auto" w:fill="DCE2E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1,588.3</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gridSpan w:val="3"/>
            <w:vMerge w:val="continue"/>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9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520" w:type="dxa"/>
            <w:vAlign w:val="bottom"/>
            <w:shd w:val="clear" w:color="auto" w:fill="DCE2E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63"/>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Aviation</w:t>
            </w:r>
          </w:p>
        </w:tc>
        <w:tc>
          <w:tcPr>
            <w:tcW w:w="52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7"/>
        </w:trPr>
        <w:tc>
          <w:tcPr>
            <w:tcW w:w="69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Technology &amp; Manufacturing</w:t>
            </w:r>
          </w:p>
        </w:tc>
        <w:tc>
          <w:tcPr>
            <w:tcW w:w="52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63"/>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Education</w:t>
            </w:r>
          </w:p>
        </w:tc>
        <w:tc>
          <w:tcPr>
            <w:tcW w:w="52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7"/>
        </w:trPr>
        <w:tc>
          <w:tcPr>
            <w:tcW w:w="69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Technical Solutions</w:t>
            </w:r>
          </w:p>
        </w:tc>
        <w:tc>
          <w:tcPr>
            <w:tcW w:w="52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Healthcare</w:t>
            </w:r>
          </w:p>
        </w:tc>
        <w:tc>
          <w:tcPr>
            <w:tcW w:w="52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69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Government Services</w:t>
            </w:r>
          </w:p>
        </w:tc>
        <w:tc>
          <w:tcPr>
            <w:tcW w:w="520" w:type="dxa"/>
            <w:vAlign w:val="bottom"/>
            <w:shd w:val="clear" w:color="auto" w:fill="DCE2EF"/>
          </w:tcPr>
          <w:p>
            <w:pPr>
              <w:spacing w:after="0"/>
              <w:rPr>
                <w:sz w:val="24"/>
                <w:szCs w:val="24"/>
                <w:color w:val="auto"/>
              </w:rPr>
            </w:pPr>
          </w:p>
        </w:tc>
        <w:tc>
          <w:tcPr>
            <w:tcW w:w="178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DCE2EF"/>
          </w:tcPr>
          <w:p>
            <w:pPr>
              <w:spacing w:after="0"/>
              <w:rPr>
                <w:sz w:val="24"/>
                <w:szCs w:val="24"/>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63"/>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52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7"/>
        </w:trPr>
        <w:tc>
          <w:tcPr>
            <w:tcW w:w="69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Adjustment for income from unconsolidated affiliates, net, included in Aviation</w:t>
            </w:r>
          </w:p>
        </w:tc>
        <w:tc>
          <w:tcPr>
            <w:tcW w:w="520" w:type="dxa"/>
            <w:vAlign w:val="bottom"/>
            <w:shd w:val="clear" w:color="auto" w:fill="DCE2EF"/>
          </w:tcPr>
          <w:p>
            <w:pPr>
              <w:spacing w:after="0"/>
              <w:rPr>
                <w:sz w:val="24"/>
                <w:szCs w:val="24"/>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Adjustment for tax deductions for energy efficient government buildings, included in</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Technical Solutions</w:t>
            </w:r>
          </w:p>
        </w:tc>
        <w:tc>
          <w:tcPr>
            <w:tcW w:w="52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40" w:type="dxa"/>
            <w:vAlign w:val="bottom"/>
            <w:tcBorders>
              <w:top w:val="single" w:sz="8" w:color="DCE2EF"/>
            </w:tcBorders>
            <w:shd w:val="clear" w:color="auto" w:fill="DCE2EF"/>
          </w:tcPr>
          <w:p>
            <w:pPr>
              <w:spacing w:after="0"/>
              <w:rPr>
                <w:sz w:val="21"/>
                <w:szCs w:val="21"/>
                <w:color w:val="auto"/>
              </w:rPr>
            </w:pPr>
          </w:p>
        </w:tc>
        <w:tc>
          <w:tcPr>
            <w:tcW w:w="700" w:type="dxa"/>
            <w:vAlign w:val="bottom"/>
            <w:tcBorders>
              <w:top w:val="single" w:sz="8" w:color="DCE2EF"/>
            </w:tcBorders>
            <w:shd w:val="clear" w:color="auto" w:fill="DCE2EF"/>
          </w:tcPr>
          <w:p>
            <w:pPr>
              <w:spacing w:after="0"/>
              <w:rPr>
                <w:sz w:val="21"/>
                <w:szCs w:val="21"/>
                <w:color w:val="auto"/>
              </w:rPr>
            </w:pPr>
          </w:p>
        </w:tc>
        <w:tc>
          <w:tcPr>
            <w:tcW w:w="6200" w:type="dxa"/>
            <w:vAlign w:val="bottom"/>
            <w:tcBorders>
              <w:top w:val="single" w:sz="8" w:color="DCE2EF"/>
            </w:tcBorders>
            <w:shd w:val="clear" w:color="auto" w:fill="DCE2EF"/>
          </w:tcPr>
          <w:p>
            <w:pPr>
              <w:spacing w:after="0"/>
              <w:rPr>
                <w:sz w:val="21"/>
                <w:szCs w:val="21"/>
                <w:color w:val="auto"/>
              </w:rPr>
            </w:pPr>
          </w:p>
        </w:tc>
        <w:tc>
          <w:tcPr>
            <w:tcW w:w="520" w:type="dxa"/>
            <w:vAlign w:val="bottom"/>
            <w:tcBorders>
              <w:top w:val="single" w:sz="8" w:color="auto"/>
              <w:bottom w:val="single" w:sz="8" w:color="auto"/>
            </w:tcBorders>
            <w:shd w:val="clear" w:color="auto" w:fill="DCE2EF"/>
          </w:tcPr>
          <w:p>
            <w:pPr>
              <w:spacing w:after="0"/>
              <w:rPr>
                <w:sz w:val="21"/>
                <w:szCs w:val="21"/>
                <w:color w:val="auto"/>
              </w:rPr>
            </w:pPr>
          </w:p>
        </w:tc>
        <w:tc>
          <w:tcPr>
            <w:tcW w:w="166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Borders>
              <w:top w:val="single" w:sz="8" w:color="DCE2EF"/>
            </w:tcBorders>
            <w:shd w:val="clear" w:color="auto" w:fill="DCE2EF"/>
          </w:tcPr>
          <w:p>
            <w:pPr>
              <w:spacing w:after="0"/>
              <w:rPr>
                <w:sz w:val="21"/>
                <w:szCs w:val="21"/>
                <w:color w:val="auto"/>
              </w:rPr>
            </w:pPr>
          </w:p>
        </w:tc>
        <w:tc>
          <w:tcPr>
            <w:tcW w:w="500" w:type="dxa"/>
            <w:vAlign w:val="bottom"/>
            <w:tcBorders>
              <w:top w:val="single" w:sz="8" w:color="auto"/>
              <w:bottom w:val="single" w:sz="8" w:color="auto"/>
            </w:tcBorders>
            <w:shd w:val="clear" w:color="auto" w:fill="DCE2EF"/>
          </w:tcPr>
          <w:p>
            <w:pPr>
              <w:spacing w:after="0"/>
              <w:rPr>
                <w:sz w:val="21"/>
                <w:szCs w:val="21"/>
                <w:color w:val="auto"/>
              </w:rPr>
            </w:pPr>
          </w:p>
        </w:tc>
        <w:tc>
          <w:tcPr>
            <w:tcW w:w="166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0"/>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7"/>
        </w:trPr>
        <w:tc>
          <w:tcPr>
            <w:tcW w:w="69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auto"/>
            </w:tcBorders>
            <w:shd w:val="clear" w:color="auto" w:fill="DCE2EF"/>
          </w:tcPr>
          <w:p>
            <w:pPr>
              <w:spacing w:after="0"/>
              <w:rPr>
                <w:sz w:val="24"/>
                <w:szCs w:val="24"/>
                <w:color w:val="auto"/>
              </w:rPr>
            </w:pP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DCE2EF"/>
          </w:tcPr>
          <w:p>
            <w:pPr>
              <w:spacing w:after="0"/>
              <w:rPr>
                <w:sz w:val="24"/>
                <w:szCs w:val="24"/>
                <w:color w:val="auto"/>
              </w:rPr>
            </w:pPr>
          </w:p>
        </w:tc>
        <w:tc>
          <w:tcPr>
            <w:tcW w:w="500" w:type="dxa"/>
            <w:vAlign w:val="bottom"/>
            <w:tcBorders>
              <w:bottom w:val="single" w:sz="8" w:color="auto"/>
            </w:tcBorders>
            <w:shd w:val="clear" w:color="auto" w:fill="DCE2EF"/>
          </w:tcPr>
          <w:p>
            <w:pPr>
              <w:spacing w:after="0"/>
              <w:rPr>
                <w:sz w:val="24"/>
                <w:szCs w:val="24"/>
                <w:color w:val="auto"/>
              </w:rPr>
            </w:pP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4"/>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adjustments resulting from actuarial developments of self-insurance reserves, and direct acquisition costs.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2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0046AD"/>
        </w:rPr>
        <w:t>ITEM 2. MANAGEMENT’S DISCUSSION AND ANALYSIS OF FINANCIAL CONDITION AND RESULTS OF OPERATIONS.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2018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Effective November 1, 2018, we adopted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606) </w:t>
      </w:r>
      <w:r>
        <w:rPr>
          <w:rFonts w:ascii="Arial" w:cs="Arial" w:eastAsia="Arial" w:hAnsi="Arial"/>
          <w:sz w:val="18"/>
          <w:szCs w:val="18"/>
          <w:color w:val="auto"/>
        </w:rPr>
        <w:t>and ASU 2017-10</w:t>
      </w:r>
      <w:r>
        <w:rPr>
          <w:rFonts w:ascii="Arial" w:cs="Arial" w:eastAsia="Arial" w:hAnsi="Arial"/>
          <w:sz w:val="18"/>
          <w:szCs w:val="18"/>
          <w:i w:val="1"/>
          <w:iCs w:val="1"/>
          <w:color w:val="auto"/>
        </w:rPr>
        <w:t xml:space="preserve">, Service Concession Arrangements (Topic 853): Determining the Customer of the Operation Services </w:t>
      </w:r>
      <w:r>
        <w:rPr>
          <w:rFonts w:ascii="Arial" w:cs="Arial" w:eastAsia="Arial" w:hAnsi="Arial"/>
          <w:sz w:val="18"/>
          <w:szCs w:val="18"/>
          <w:color w:val="auto"/>
        </w:rPr>
        <w:t>using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retrospective approach with a cumulative-effect adjustment to retained earnings as of the beginning of 2019; prior period financial statements are not adjusted. Refer to Note 2, “Basis of Presentation,” and Note 3, “Revenue,” in the Financial Statements for additional information regarding the impact of adoption.</w:t>
      </w: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ABM is a leading provider of integrated facility services, customized by industry, with a mission to </w:t>
      </w:r>
      <w:r>
        <w:rPr>
          <w:rFonts w:ascii="Arial" w:cs="Arial" w:eastAsia="Arial" w:hAnsi="Arial"/>
          <w:sz w:val="18"/>
          <w:szCs w:val="18"/>
          <w:b w:val="1"/>
          <w:bCs w:val="1"/>
          <w:color w:val="006EBF"/>
        </w:rPr>
        <w:t>make a difference, every person,</w:t>
      </w:r>
      <w:r>
        <w:rPr>
          <w:rFonts w:ascii="Arial" w:cs="Arial" w:eastAsia="Arial" w:hAnsi="Arial"/>
          <w:sz w:val="18"/>
          <w:szCs w:val="18"/>
          <w:color w:val="auto"/>
        </w:rPr>
        <w:t xml:space="preserve"> </w:t>
      </w:r>
      <w:r>
        <w:rPr>
          <w:rFonts w:ascii="Arial" w:cs="Arial" w:eastAsia="Arial" w:hAnsi="Arial"/>
          <w:sz w:val="18"/>
          <w:szCs w:val="18"/>
          <w:b w:val="1"/>
          <w:bCs w:val="1"/>
          <w:color w:val="006EBF"/>
        </w:rPr>
        <w:t>every day</w:t>
      </w:r>
      <w:r>
        <w:rPr>
          <w:rFonts w:ascii="Arial" w:cs="Arial" w:eastAsia="Arial" w:hAnsi="Arial"/>
          <w:sz w:val="18"/>
          <w:szCs w:val="18"/>
          <w:color w:val="000000"/>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Developments in 2019</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We continue focusing on several key initiatives across our organization to sustain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strategy and profitably deliver leading industry-based facility solutions. We are targeting significant investments in our information technology infrastructure to help simplify our operating environment, drive productivity, and create consistency and efficiency across our organization. We continue upgrading several key platforms, including our human resources information systems, enterprise resource planning system, and labor management system. We are also utilizing technology to help improve processes company-wide, including account planning, labor management, payroll, and procurement. We continue to centralize many of our back-office functions through our Enterprise Services Center in Sugar Land, Texas to help drive consistency in practice and support operating efficiency. In addition, by consolidating purchasing activities we have been able to leverage our scale, increase our purchasing power, and identify preferred suppliers, which has enabled cost saving opportunities in supplies and materials procurement.</w:t>
      </w: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Economic Labor Outlook</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economy continues to demonstrate positive underlying fundamentals, with expanding gross domestic product growth and improving employment conditions, which have led to historically low levels of both unemployment and underemployment across the country. These factors have contributed to the lower availability of qualified labor for our business and higher turnover in certain markets, as our employees have more job opportunities both inside and outside our industry. This in turn has caused, and may continue to cause, higher labor and related personnel costs.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0046AD"/>
        </w:rPr>
        <w:t>Restructuring and Related Costs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first quarter of 2018, we initiated a restructuring program to achieve cost synergies following the acquisition of GCA Services Group (“GCA”). We incurred the majority of our anticipated severance expense associated with this restructuring program in the first half of 2018. We expect to incur additional charges related to other project fees as we continue to further integrate and consolidate our operational and financial processes to support the growth and capabilities of our shared services and operations. Additionally, we continue standardizing our financial systems and streamlining our operations by migrating and upgrading several key management platforms, including our human resources information systems, enterprise resource planning system, and labor management system. We also continue consolidating our real estate leases.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43"/>
        </w:trPr>
        <w:tc>
          <w:tcPr>
            <w:tcW w:w="65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January 31, 2019</w:t>
            </w:r>
          </w:p>
        </w:tc>
        <w:tc>
          <w:tcPr>
            <w:tcW w:w="420" w:type="dxa"/>
            <w:vAlign w:val="bottom"/>
          </w:tcPr>
          <w:p>
            <w:pPr>
              <w:spacing w:after="0"/>
              <w:rPr>
                <w:sz w:val="21"/>
                <w:szCs w:val="21"/>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76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65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Employee Severance</w:t>
            </w: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CE2EF"/>
          </w:tcPr>
          <w:p>
            <w:pPr>
              <w:spacing w:after="0"/>
              <w:rPr>
                <w:sz w:val="21"/>
                <w:szCs w:val="21"/>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14.8</w:t>
            </w:r>
          </w:p>
        </w:tc>
      </w:tr>
      <w:tr>
        <w:trPr>
          <w:trHeight w:val="263"/>
        </w:trPr>
        <w:tc>
          <w:tcPr>
            <w:tcW w:w="6500" w:type="dxa"/>
            <w:vAlign w:val="bottom"/>
            <w:gridSpan w:val="3"/>
          </w:tcPr>
          <w:p>
            <w:pPr>
              <w:ind w:left="40"/>
              <w:spacing w:after="0"/>
              <w:rPr>
                <w:sz w:val="20"/>
                <w:szCs w:val="20"/>
                <w:color w:val="auto"/>
              </w:rPr>
            </w:pPr>
            <w:r>
              <w:rPr>
                <w:rFonts w:ascii="Arial" w:cs="Arial" w:eastAsia="Arial" w:hAnsi="Arial"/>
                <w:sz w:val="18"/>
                <w:szCs w:val="18"/>
                <w:color w:val="auto"/>
              </w:rPr>
              <w:t>Other Project Fees</w:t>
            </w:r>
          </w:p>
        </w:tc>
        <w:tc>
          <w:tcPr>
            <w:tcW w:w="220" w:type="dxa"/>
            <w:vAlign w:val="bottom"/>
          </w:tcPr>
          <w:p>
            <w:pPr>
              <w:spacing w:after="0"/>
              <w:rPr>
                <w:sz w:val="22"/>
                <w:szCs w:val="22"/>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0"/>
        </w:trPr>
        <w:tc>
          <w:tcPr>
            <w:tcW w:w="65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External Support Fees</w:t>
            </w:r>
          </w:p>
        </w:tc>
        <w:tc>
          <w:tcPr>
            <w:tcW w:w="220" w:type="dxa"/>
            <w:vAlign w:val="bottom"/>
            <w:shd w:val="clear" w:color="auto" w:fill="DCE2EF"/>
          </w:tcPr>
          <w:p>
            <w:pPr>
              <w:spacing w:after="0"/>
              <w:rPr>
                <w:sz w:val="23"/>
                <w:szCs w:val="23"/>
                <w:color w:val="auto"/>
              </w:rPr>
            </w:pPr>
          </w:p>
        </w:tc>
        <w:tc>
          <w:tcPr>
            <w:tcW w:w="228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DCE2EF"/>
          </w:tcPr>
          <w:p>
            <w:pPr>
              <w:spacing w:after="0"/>
              <w:rPr>
                <w:sz w:val="23"/>
                <w:szCs w:val="23"/>
                <w:color w:val="auto"/>
              </w:rPr>
            </w:pPr>
          </w:p>
        </w:tc>
        <w:tc>
          <w:tcPr>
            <w:tcW w:w="1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65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27.1</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Segment Reporting</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reportable segments consist of Business &amp; Industry (“B&amp;I”), Aviation, Technology &amp; Manufacturing (“T&amp;M”), Education, Technical Solutions, and Healthcare, as further described below. Effective November 1, 2018, we have modified the presentation of inter-segment revenues, which are recorded at cost with no associated intercompany profit or loss and are eliminated in consolidation. Our prior period segment data has been reclassified to conform with our fiscal 2019 presentation. These changes had no impact on our previously reported consolidated balance sheets, statements of comprehensive income, or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3490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9059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207" w:lineRule="exact"/>
        <w:rPr>
          <w:sz w:val="20"/>
          <w:szCs w:val="20"/>
          <w:color w:val="auto"/>
        </w:rPr>
      </w:pPr>
    </w:p>
    <w:p>
      <w:pPr>
        <w:jc w:val="both"/>
        <w:ind w:left="3240" w:right="40"/>
        <w:spacing w:after="0"/>
        <w:rPr>
          <w:sz w:val="20"/>
          <w:szCs w:val="20"/>
          <w:color w:val="auto"/>
        </w:rPr>
      </w:pPr>
      <w:r>
        <w:rPr>
          <w:rFonts w:ascii="Arial" w:cs="Arial" w:eastAsia="Arial" w:hAnsi="Arial"/>
          <w:sz w:val="18"/>
          <w:szCs w:val="18"/>
          <w:color w:val="auto"/>
        </w:rPr>
        <w:t>B&amp;I, our largest reportable segment, encompasses janitorial, facilities engineering, and parking services for commercial real estate properties and sports and entertainment venues. B&amp;I also provides vehicle maintenance and other services to rental car providers.</w:t>
      </w:r>
    </w:p>
    <w:p>
      <w:pPr>
        <w:spacing w:after="0" w:line="311"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Aviation supports airlines and airports with services ranging from parking and janitorial to passenger assistance, catering logistics, air cabin maintenance, and transportation.</w:t>
      </w:r>
    </w:p>
    <w:p>
      <w:pPr>
        <w:spacing w:after="0" w:line="200" w:lineRule="exact"/>
        <w:rPr>
          <w:sz w:val="20"/>
          <w:szCs w:val="20"/>
          <w:color w:val="auto"/>
        </w:rPr>
      </w:pPr>
    </w:p>
    <w:p>
      <w:pPr>
        <w:spacing w:after="0" w:line="213"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T&amp;M provides janitorial, facilities engineering, and parking services to industrial and high-tech manufacturing facilities.</w:t>
      </w:r>
    </w:p>
    <w:p>
      <w:pPr>
        <w:spacing w:after="0" w:line="200" w:lineRule="exact"/>
        <w:rPr>
          <w:sz w:val="20"/>
          <w:szCs w:val="20"/>
          <w:color w:val="auto"/>
        </w:rPr>
      </w:pPr>
    </w:p>
    <w:p>
      <w:pPr>
        <w:spacing w:after="0" w:line="254"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Education delivers janitorial, custodial, landscaping and grounds, facilities engineering, and parking services for public school districts, private schools, colleges, and universities.</w:t>
      </w:r>
    </w:p>
    <w:p>
      <w:pPr>
        <w:spacing w:after="0" w:line="200" w:lineRule="exact"/>
        <w:rPr>
          <w:sz w:val="20"/>
          <w:szCs w:val="20"/>
          <w:color w:val="auto"/>
        </w:rPr>
      </w:pPr>
    </w:p>
    <w:p>
      <w:pPr>
        <w:spacing w:after="0" w:line="267"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Technical Solutions specializes in mechanical and electrical services. These services can also be leveraged for cross-selling across all of our industry groups, both domestically and internationally.</w:t>
      </w:r>
    </w:p>
    <w:p>
      <w:pPr>
        <w:spacing w:after="0" w:line="372" w:lineRule="exact"/>
        <w:rPr>
          <w:sz w:val="20"/>
          <w:szCs w:val="20"/>
          <w:color w:val="auto"/>
        </w:rPr>
      </w:pPr>
    </w:p>
    <w:p>
      <w:pPr>
        <w:jc w:val="both"/>
        <w:ind w:left="3240" w:right="60"/>
        <w:spacing w:after="0"/>
        <w:rPr>
          <w:sz w:val="20"/>
          <w:szCs w:val="20"/>
          <w:color w:val="auto"/>
        </w:rPr>
      </w:pPr>
      <w:r>
        <w:rPr>
          <w:rFonts w:ascii="Arial" w:cs="Arial" w:eastAsia="Arial" w:hAnsi="Arial"/>
          <w:sz w:val="18"/>
          <w:szCs w:val="18"/>
          <w:color w:val="auto"/>
        </w:rPr>
        <w:t>Healthcare offers janitorial, facilities management, clinical engineering, food and nutrition, laundry and linen, parking and guest services, and patient transportation services at traditional hospitals and non-acute facilities.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0046AD"/>
        </w:rPr>
        <w:t>Insurance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three months ended January 31, 2019, we performed an actuarial review of the majority of our casualty insurance programs that considered changes in claim developments and claim payment activity for the period commencing May 1, 2018 and ending October 31, 2018 for all policy years in which open claims existed. The actuarial review indicated the changes we have made to our risk management program have reduced the frequency of claims; however, we are experiencing adverse developments that impact claim costs relating to prior periods. Claim management initiatives include programs to identify those claims earlier in the claims cycle that may potentially develop adversely and ensure the establishment of reserves consistent with known fact patterns. However, with respect to claims related to prior fiscal years, the actuarial review showed unfavorable developments in our estimates of ultimate losses related to general liability, property damage, workers’ compensation, and automobile liability claims.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the results of the actuarial review and subsequent developments, we increased our total reserves for known claims as well as our estimate of the loss amounts associated with incurred but not reported claims by $5.0 million during the three months ended January 31, 2019. This adjustment was $3.0 million higher than the total adjustment related to prior year claims of $2.0 million during the three months ended January 31, 2018. We will continue to assess ongoing developments, which may result in further adjustments to reserves.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Key Financial Highlights</w:t>
      </w:r>
    </w:p>
    <w:p>
      <w:pPr>
        <w:spacing w:after="0" w:line="13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increased by $19.6 million, or 1.2%, as compared to the three months ended January 31, 2018.</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profit increased by $10.8 million, or 55.4%, during the three months ended January 31, 2019, as compared to the three months ended January 31, 2018. The increase in operating profit is primarily attributable to higher gross margin, particularly within B&amp;I, and lower corporate expenses due to lower restructuring and related expenses.</w:t>
      </w:r>
    </w:p>
    <w:p>
      <w:pPr>
        <w:spacing w:after="0" w:line="93"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income taxes from continuing operations for the three months ended January 31, 2019 increased by $0.7 million due to certain reserves and decreased by $0.5 million of excess tax benefits related to the vesting of share-based compensation awards. Comparatively, the three months ended January 31, 2018, benefited from a net discrete tax benefit of $21.7 million related to provisional amounts recorded under the Tax Cuts and Jobs Act (the “Tax Act”) and $1.5 million of excess tax benefits related to the vesting of share-based compensation awards.</w:t>
      </w:r>
    </w:p>
    <w:p>
      <w:pPr>
        <w:spacing w:after="0" w:line="9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cash used in operating activities was $39.3 million during the three months ended January 31, 2019. Typically, our total operating cash flows in the first quarter are lower than in subsequent quarters of the year, primarily due to the timing of certain working capital requirements during the first quarter. We expect operating activities of continuing operations to provide positive cash flows for 2019.</w:t>
      </w:r>
    </w:p>
    <w:p>
      <w:pPr>
        <w:spacing w:after="0" w:line="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 of $11.9 million were paid to shareholders, and dividends totaling $0.180 per common share were declared during the three months ended January 31, 2019.</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January 31, 2019, total outstanding borrowings under our credit facility were $997.0 million, and we had up to $410.2 million of borrowing capacity under our credit facility; however, covenant restrictions limited our actual borrowing capacity to $352.5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22" w:right="239"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3160"/>
        <w:spacing w:after="0" w:line="456" w:lineRule="auto"/>
        <w:rPr>
          <w:sz w:val="20"/>
          <w:szCs w:val="20"/>
          <w:color w:val="auto"/>
        </w:rPr>
      </w:pPr>
      <w:r>
        <w:rPr>
          <w:rFonts w:ascii="Arial" w:cs="Arial" w:eastAsia="Arial" w:hAnsi="Arial"/>
          <w:sz w:val="18"/>
          <w:szCs w:val="18"/>
          <w:b w:val="1"/>
          <w:bCs w:val="1"/>
          <w:i w:val="1"/>
          <w:iCs w:val="1"/>
          <w:color w:val="0046AD"/>
        </w:rPr>
        <w:t>Three Months Ended January 31, 2019 Compared with the Three Months Ended January 31, 2018 Consolidated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3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44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1,607.9</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1,588.3</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19.6</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1.2%</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1,446.0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1,429.3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1.2%</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280" w:type="dxa"/>
            <w:vAlign w:val="bottom"/>
            <w:shd w:val="clear" w:color="auto" w:fill="DCE2EF"/>
          </w:tcPr>
          <w:p>
            <w:pPr>
              <w:spacing w:after="0"/>
              <w:rPr>
                <w:sz w:val="24"/>
                <w:szCs w:val="24"/>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10.1%</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10.0%</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 bps</w:t>
            </w:r>
          </w:p>
        </w:tc>
        <w:tc>
          <w:tcPr>
            <w:tcW w:w="1340" w:type="dxa"/>
            <w:vAlign w:val="bottom"/>
            <w:shd w:val="clear" w:color="auto" w:fill="DCE2EF"/>
          </w:tcPr>
          <w:p>
            <w:pPr>
              <w:spacing w:after="0"/>
              <w:rPr>
                <w:sz w:val="24"/>
                <w:szCs w:val="24"/>
                <w:color w:val="auto"/>
              </w:rPr>
            </w:pP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3.4%</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28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(10.5)</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(73.6)%</w:t>
            </w:r>
          </w:p>
        </w:tc>
      </w:tr>
      <w:tr>
        <w:trPr>
          <w:trHeight w:val="26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34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(6.2)%</w:t>
            </w:r>
          </w:p>
        </w:tc>
      </w:tr>
      <w:tr>
        <w:trPr>
          <w:trHeight w:val="257"/>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Operating profit</w:t>
            </w:r>
          </w:p>
        </w:tc>
        <w:tc>
          <w:tcPr>
            <w:tcW w:w="280" w:type="dxa"/>
            <w:vAlign w:val="bottom"/>
            <w:shd w:val="clear" w:color="auto" w:fill="DCE2EF"/>
          </w:tcPr>
          <w:p>
            <w:pPr>
              <w:spacing w:after="0"/>
              <w:rPr>
                <w:sz w:val="22"/>
                <w:szCs w:val="22"/>
                <w:color w:val="auto"/>
              </w:rPr>
            </w:pPr>
          </w:p>
        </w:tc>
        <w:tc>
          <w:tcPr>
            <w:tcW w:w="13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10.8</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55.4%</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28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71.1%</w:t>
            </w:r>
          </w:p>
        </w:tc>
      </w:tr>
      <w:tr>
        <w:trPr>
          <w:trHeight w:val="273"/>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DCE2EF"/>
          </w:tcPr>
          <w:p>
            <w:pPr>
              <w:spacing w:after="0"/>
              <w:rPr>
                <w:sz w:val="23"/>
                <w:szCs w:val="23"/>
                <w:color w:val="auto"/>
              </w:rPr>
            </w:pPr>
          </w:p>
        </w:tc>
        <w:tc>
          <w:tcPr>
            <w:tcW w:w="13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9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0.8</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(5.7)%</w:t>
            </w:r>
          </w:p>
        </w:tc>
      </w:tr>
      <w:tr>
        <w:trPr>
          <w:trHeight w:val="247"/>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spacing w:after="0"/>
              <w:rPr>
                <w:sz w:val="21"/>
                <w:szCs w:val="21"/>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73"/>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tax (provision) benefit</w:t>
            </w:r>
          </w:p>
        </w:tc>
        <w:tc>
          <w:tcPr>
            <w:tcW w:w="280" w:type="dxa"/>
            <w:vAlign w:val="bottom"/>
            <w:tcBorders>
              <w:bottom w:val="single" w:sz="8" w:color="auto"/>
            </w:tcBorders>
            <w:shd w:val="clear" w:color="auto" w:fill="DCE2EF"/>
          </w:tcPr>
          <w:p>
            <w:pPr>
              <w:spacing w:after="0"/>
              <w:rPr>
                <w:sz w:val="23"/>
                <w:szCs w:val="23"/>
                <w:color w:val="auto"/>
              </w:rPr>
            </w:pPr>
          </w:p>
        </w:tc>
        <w:tc>
          <w:tcPr>
            <w:tcW w:w="13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(26.9)</w:t>
            </w:r>
          </w:p>
        </w:tc>
        <w:tc>
          <w:tcPr>
            <w:tcW w:w="1340" w:type="dxa"/>
            <w:vAlign w:val="bottom"/>
            <w:shd w:val="clear" w:color="auto" w:fill="DCE2EF"/>
          </w:tcPr>
          <w:p>
            <w:pPr>
              <w:ind w:left="560"/>
              <w:spacing w:after="0"/>
              <w:rPr>
                <w:sz w:val="20"/>
                <w:szCs w:val="20"/>
                <w:color w:val="auto"/>
              </w:rPr>
            </w:pPr>
            <w:r>
              <w:rPr>
                <w:rFonts w:ascii="Arial" w:cs="Arial" w:eastAsia="Arial" w:hAnsi="Arial"/>
                <w:sz w:val="16"/>
                <w:szCs w:val="16"/>
                <w:color w:val="auto"/>
              </w:rPr>
              <w:t>NM*</w:t>
            </w:r>
          </w:p>
        </w:tc>
      </w:tr>
      <w:tr>
        <w:trPr>
          <w:trHeight w:val="247"/>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21"/>
                <w:szCs w:val="21"/>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99"/>
              </w:rPr>
              <w:t>(53.4)%</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Loss from discontinued operations, net of taxes</w:t>
            </w:r>
          </w:p>
        </w:tc>
        <w:tc>
          <w:tcPr>
            <w:tcW w:w="280" w:type="dxa"/>
            <w:vAlign w:val="bottom"/>
            <w:tcBorders>
              <w:bottom w:val="single" w:sz="8" w:color="auto"/>
            </w:tcBorders>
            <w:shd w:val="clear" w:color="auto" w:fill="DCE2EF"/>
          </w:tcPr>
          <w:p>
            <w:pPr>
              <w:spacing w:after="0"/>
              <w:rPr>
                <w:sz w:val="24"/>
                <w:szCs w:val="24"/>
                <w:color w:val="auto"/>
              </w:rPr>
            </w:pPr>
          </w:p>
        </w:tc>
        <w:tc>
          <w:tcPr>
            <w:tcW w:w="13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24"/>
                <w:szCs w:val="24"/>
                <w:color w:val="auto"/>
              </w:rPr>
            </w:pPr>
          </w:p>
        </w:tc>
        <w:tc>
          <w:tcPr>
            <w:tcW w:w="300" w:type="dxa"/>
            <w:vAlign w:val="bottom"/>
            <w:tcBorders>
              <w:bottom w:val="single" w:sz="8" w:color="auto"/>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(55.8)%</w:t>
            </w:r>
          </w:p>
        </w:tc>
      </w:tr>
      <w:tr>
        <w:trPr>
          <w:trHeight w:val="246"/>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DCE2E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DCE2E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34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w w:val="99"/>
              </w:rPr>
              <w:t>(53.4)%</w:t>
            </w:r>
          </w:p>
        </w:tc>
      </w:tr>
      <w:tr>
        <w:trPr>
          <w:trHeight w:val="268"/>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comprehensive income</w:t>
            </w:r>
          </w:p>
        </w:tc>
        <w:tc>
          <w:tcPr>
            <w:tcW w:w="280" w:type="dxa"/>
            <w:vAlign w:val="bottom"/>
            <w:shd w:val="clear" w:color="auto" w:fill="DCE2EF"/>
          </w:tcPr>
          <w:p>
            <w:pPr>
              <w:spacing w:after="0"/>
              <w:rPr>
                <w:sz w:val="23"/>
                <w:szCs w:val="23"/>
                <w:color w:val="auto"/>
              </w:rPr>
            </w:pPr>
          </w:p>
        </w:tc>
        <w:tc>
          <w:tcPr>
            <w:tcW w:w="13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940" w:type="dxa"/>
            <w:vAlign w:val="bottom"/>
            <w:shd w:val="clear" w:color="auto" w:fill="DCE2EF"/>
          </w:tcPr>
          <w:p>
            <w:pPr>
              <w:spacing w:after="0"/>
              <w:rPr>
                <w:sz w:val="23"/>
                <w:szCs w:val="23"/>
                <w:color w:val="auto"/>
              </w:rPr>
            </w:pPr>
          </w:p>
        </w:tc>
        <w:tc>
          <w:tcPr>
            <w:tcW w:w="1340" w:type="dxa"/>
            <w:vAlign w:val="bottom"/>
            <w:shd w:val="clear" w:color="auto" w:fill="DCE2E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260" w:type="dxa"/>
            <w:vAlign w:val="bottom"/>
            <w:gridSpan w:val="2"/>
          </w:tcPr>
          <w:p>
            <w:pPr>
              <w:ind w:left="320"/>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Foreign currency translation</w:t>
            </w:r>
          </w:p>
        </w:tc>
        <w:tc>
          <w:tcPr>
            <w:tcW w:w="28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9.4</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(67.4)%</w:t>
            </w:r>
          </w:p>
        </w:tc>
      </w:tr>
      <w:tr>
        <w:trPr>
          <w:trHeight w:val="266"/>
        </w:trPr>
        <w:tc>
          <w:tcPr>
            <w:tcW w:w="40" w:type="dxa"/>
            <w:vAlign w:val="bottom"/>
            <w:tcBorders>
              <w:bottom w:val="single" w:sz="8" w:color="DCE2EF"/>
            </w:tcBorders>
          </w:tcPr>
          <w:p>
            <w:pPr>
              <w:spacing w:after="0"/>
              <w:rPr>
                <w:sz w:val="23"/>
                <w:szCs w:val="23"/>
                <w:color w:val="auto"/>
              </w:rPr>
            </w:pPr>
          </w:p>
        </w:tc>
        <w:tc>
          <w:tcPr>
            <w:tcW w:w="5260" w:type="dxa"/>
            <w:vAlign w:val="bottom"/>
            <w:tcBorders>
              <w:bottom w:val="single" w:sz="8" w:color="DCE2EF"/>
            </w:tcBorders>
            <w:gridSpan w:val="2"/>
          </w:tcPr>
          <w:p>
            <w:pPr>
              <w:ind w:left="340"/>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DCE2E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DCE2E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1340" w:type="dxa"/>
            <w:vAlign w:val="bottom"/>
            <w:tcBorders>
              <w:bottom w:val="single" w:sz="8" w:color="DCE2EF"/>
            </w:tcBorders>
          </w:tcPr>
          <w:p>
            <w:pPr>
              <w:ind w:left="560"/>
              <w:spacing w:after="0"/>
              <w:rPr>
                <w:sz w:val="20"/>
                <w:szCs w:val="20"/>
                <w:color w:val="auto"/>
              </w:rPr>
            </w:pPr>
            <w:r>
              <w:rPr>
                <w:rFonts w:ascii="Arial" w:cs="Arial" w:eastAsia="Arial" w:hAnsi="Arial"/>
                <w:sz w:val="16"/>
                <w:szCs w:val="16"/>
                <w:color w:val="auto"/>
              </w:rPr>
              <w:t>NM*</w:t>
            </w:r>
          </w:p>
        </w:tc>
      </w:tr>
      <w:tr>
        <w:trPr>
          <w:trHeight w:val="241"/>
        </w:trPr>
        <w:tc>
          <w:tcPr>
            <w:tcW w:w="530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(41.2)</w:t>
            </w:r>
          </w:p>
        </w:tc>
        <w:tc>
          <w:tcPr>
            <w:tcW w:w="134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w w:val="99"/>
              </w:rPr>
              <w:t>(80.9)%</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Revenues increased by $19.6 million, or 1.2%, during the three months ended January 31, 2019, as compared to the three months ended January 31, 2018. The increase in revenues was primarily attributable to organic growth in B&amp;I, in our U.S. Technical Solutions business, and in T&amp;M. This increase was partially offset by a reclassification of $11.3 million of rent expense related to service concession arrangements, primarily within Aviation. This expense was previously recorded as an operating expense but is now recorded as a reduction of revenues, due to the adoption of Topic 853. Additionally, we lost certain accounts in Aviation, in our U.K. Technical Solutions business, and in Education.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expenses increased by $16.7 million, or 1.2%, during the three months ended January 31, 2019, as compared to the three months ended January 31, 2018. This increase was partially offset by the reclassification of $ 11.3 million of rent expense related to service concession arrangements to revenue, as noted above. Gross margin increased slightly by 6 bps to 10.1% in the three months ended January 31, 2019 from 10.0% in the three months ended January 31, 2018. The increase in gross margin was primarily associated with improved margins on certain B&amp;I and T&amp;M accounts, partially offset by a higher self-insurance adjustment related to prior year claims.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$3.7 million, or 3.4%, during the three months ended January 31, 2019, as compared to the three months ended January 31, 2018.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a $4.0 million reimbursement of previously expensed legal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$3.7 million increase in technology investments and related support; and</w:t>
      </w:r>
    </w:p>
    <w:p>
      <w:pPr>
        <w:spacing w:after="0" w:line="171" w:lineRule="exact"/>
        <w:rPr>
          <w:rFonts w:ascii="Arial" w:cs="Arial" w:eastAsia="Arial" w:hAnsi="Arial"/>
          <w:sz w:val="18"/>
          <w:szCs w:val="18"/>
          <w:color w:val="auto"/>
        </w:rPr>
      </w:pPr>
    </w:p>
    <w:p>
      <w:pPr>
        <w:ind w:right="1200" w:firstLine="332"/>
        <w:spacing w:after="0" w:line="43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$2.1 million increase in bad debt expense primarily associated with specific reserves established for client receivables. This increase was partially offset by:</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$5.4 million decrease in compensation and related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$1.4 million of acquisition costs related to the GCA acquisition in the prior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Restructuring and related expenses decreased by $10.5 million, or 73.6%, during the three months ended January 31, 2019, as compared to the three months ended January 31, 2018, due to restructuring expenses, mainly severance, incurred in the prior year following the acquisition of GCA, partially offset by continued integration expenses in the current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three months ended January 31, 2019, we had an income tax provision of $4.7 million, compared with an income tax benefit of $22.2 million during the three months ended January 31, 2018. Our income taxes for the three months ended January 31, 2019 increased by $0.7 million due to certain reserves and decreased by $0.5 million of excess tax benefits related to the vesting of share-based compensation awards. Comparatively, our income taxes for the three months ended January 31, 2018 were favorably impacted by a net discrete tax benefit of $21.7 million related to provisional amounts recorded under the Tax Act and $1.5 million of excess tax benefits related to the vesting of share-based compensation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months ended January 31, 2019, we recognized as a component of our comprehensive income a loss of $8.7 million related to our interest rate swaps, compared with a gain of $18.6 million during the three months ended January 31, 2018, due to underlying changes in the fair value of the interest rate swaps. Additionally, during the current period we amortized $1.0 million, net of taxes of $0.4 million, of the gain we realized in 2018 from the termination of our prior interest rate swaps.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Foreign currency translation gain decreased by $6.3 million during the three months ended January 31, 2019, as compared to the three months ended January 31, 2018. This decrease was related to the greater relative weakening of the U.S. Dollar (“USD”) against the Great Britain Pound during the three months ended January 31, 2018. Future gains and losses on foreign currency translation will be dependent upon changes in the relative value of foreign currencies to the USD and the extent of our foreign assets and liabilities.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January 31,</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gridSpan w:val="2"/>
          </w:tcPr>
          <w:p>
            <w:pPr>
              <w:ind w:left="18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14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DCE2EF"/>
          </w:tcPr>
          <w:p>
            <w:pPr>
              <w:spacing w:after="0"/>
              <w:rPr>
                <w:sz w:val="22"/>
                <w:szCs w:val="22"/>
                <w:color w:val="auto"/>
              </w:rPr>
            </w:pPr>
          </w:p>
        </w:tc>
        <w:tc>
          <w:tcPr>
            <w:tcW w:w="14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40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774.5</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756.3</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18.2</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340" w:type="dxa"/>
            <w:vAlign w:val="bottom"/>
            <w:shd w:val="clear" w:color="auto" w:fill="DCE2EF"/>
          </w:tcPr>
          <w:p>
            <w:pPr>
              <w:spacing w:after="0"/>
              <w:rPr>
                <w:sz w:val="24"/>
                <w:szCs w:val="24"/>
                <w:color w:val="auto"/>
              </w:rPr>
            </w:pPr>
          </w:p>
        </w:tc>
        <w:tc>
          <w:tcPr>
            <w:tcW w:w="140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252.4</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260.1</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(7.7)</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7"/>
              </w:rPr>
              <w:t>(2.9)%</w:t>
            </w:r>
          </w:p>
        </w:tc>
        <w:tc>
          <w:tcPr>
            <w:tcW w:w="0" w:type="dxa"/>
            <w:vAlign w:val="bottom"/>
          </w:tcPr>
          <w:p>
            <w:pPr>
              <w:spacing w:after="0"/>
              <w:rPr>
                <w:sz w:val="1"/>
                <w:szCs w:val="1"/>
                <w:color w:val="auto"/>
              </w:rPr>
            </w:pPr>
          </w:p>
        </w:tc>
      </w:tr>
      <w:tr>
        <w:trPr>
          <w:trHeight w:val="260"/>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340" w:type="dxa"/>
            <w:vAlign w:val="bottom"/>
          </w:tcPr>
          <w:p>
            <w:pPr>
              <w:spacing w:after="0"/>
              <w:rPr>
                <w:sz w:val="22"/>
                <w:szCs w:val="22"/>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236.1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232.2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3.9</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340" w:type="dxa"/>
            <w:vAlign w:val="bottom"/>
            <w:shd w:val="clear" w:color="auto" w:fill="DCE2EF"/>
          </w:tcPr>
          <w:p>
            <w:pPr>
              <w:spacing w:after="0"/>
              <w:rPr>
                <w:sz w:val="24"/>
                <w:szCs w:val="24"/>
                <w:color w:val="auto"/>
              </w:rPr>
            </w:pPr>
          </w:p>
        </w:tc>
        <w:tc>
          <w:tcPr>
            <w:tcW w:w="140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204.7</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206.9</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7"/>
              </w:rPr>
              <w:t>(1.1)%</w:t>
            </w:r>
          </w:p>
        </w:tc>
        <w:tc>
          <w:tcPr>
            <w:tcW w:w="0" w:type="dxa"/>
            <w:vAlign w:val="bottom"/>
          </w:tcPr>
          <w:p>
            <w:pPr>
              <w:spacing w:after="0"/>
              <w:rPr>
                <w:sz w:val="1"/>
                <w:szCs w:val="1"/>
                <w:color w:val="auto"/>
              </w:rPr>
            </w:pPr>
          </w:p>
        </w:tc>
      </w:tr>
      <w:tr>
        <w:trPr>
          <w:trHeight w:val="260"/>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340" w:type="dxa"/>
            <w:vAlign w:val="bottom"/>
          </w:tcPr>
          <w:p>
            <w:pPr>
              <w:spacing w:after="0"/>
              <w:rPr>
                <w:sz w:val="22"/>
                <w:szCs w:val="22"/>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3.9</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340" w:type="dxa"/>
            <w:vAlign w:val="bottom"/>
            <w:shd w:val="clear" w:color="auto" w:fill="DCE2EF"/>
          </w:tcPr>
          <w:p>
            <w:pPr>
              <w:spacing w:after="0"/>
              <w:rPr>
                <w:sz w:val="24"/>
                <w:szCs w:val="24"/>
                <w:color w:val="auto"/>
              </w:rPr>
            </w:pPr>
          </w:p>
        </w:tc>
        <w:tc>
          <w:tcPr>
            <w:tcW w:w="140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7"/>
              </w:rPr>
              <w:t>(1.6)%</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Elimination of inter-segment revenues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DCE2E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DCE2E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w:t>
            </w:r>
          </w:p>
        </w:tc>
        <w:tc>
          <w:tcPr>
            <w:tcW w:w="134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40"/>
        </w:trPr>
        <w:tc>
          <w:tcPr>
            <w:tcW w:w="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414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1,607.9</w:t>
            </w:r>
          </w:p>
        </w:tc>
        <w:tc>
          <w:tcPr>
            <w:tcW w:w="120" w:type="dxa"/>
            <w:vAlign w:val="bottom"/>
            <w:tcBorders>
              <w:bottom w:val="single" w:sz="8" w:color="DCE2EF"/>
            </w:tcBorders>
            <w:shd w:val="clear" w:color="auto" w:fill="DCE2EF"/>
          </w:tcPr>
          <w:p>
            <w:pPr>
              <w:spacing w:after="0"/>
              <w:rPr>
                <w:sz w:val="20"/>
                <w:szCs w:val="20"/>
                <w:color w:val="auto"/>
              </w:rPr>
            </w:pPr>
          </w:p>
        </w:tc>
        <w:tc>
          <w:tcPr>
            <w:tcW w:w="400" w:type="dxa"/>
            <w:vAlign w:val="bottom"/>
            <w:tcBorders>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1,588.3</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19.6</w:t>
            </w:r>
          </w:p>
        </w:tc>
        <w:tc>
          <w:tcPr>
            <w:tcW w:w="134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8.0</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94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340" w:type="dxa"/>
            <w:vAlign w:val="bottom"/>
            <w:shd w:val="clear" w:color="auto" w:fill="DCE2EF"/>
          </w:tcPr>
          <w:p>
            <w:pPr>
              <w:spacing w:after="0"/>
              <w:rPr>
                <w:sz w:val="24"/>
                <w:szCs w:val="24"/>
                <w:color w:val="auto"/>
              </w:rPr>
            </w:pPr>
          </w:p>
        </w:tc>
        <w:tc>
          <w:tcPr>
            <w:tcW w:w="140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3.9</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(67)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340" w:type="dxa"/>
            <w:vAlign w:val="bottom"/>
            <w:shd w:val="clear" w:color="auto" w:fill="DCE2EF"/>
          </w:tcPr>
          <w:p>
            <w:pPr>
              <w:spacing w:after="0"/>
              <w:rPr>
                <w:sz w:val="24"/>
                <w:szCs w:val="24"/>
                <w:color w:val="auto"/>
              </w:rPr>
            </w:pPr>
          </w:p>
        </w:tc>
        <w:tc>
          <w:tcPr>
            <w:tcW w:w="140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1.3</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7.7%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45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340" w:type="dxa"/>
            <w:vAlign w:val="bottom"/>
            <w:shd w:val="clear" w:color="auto" w:fill="DCE2EF"/>
          </w:tcPr>
          <w:p>
            <w:pPr>
              <w:spacing w:after="0"/>
              <w:rPr>
                <w:sz w:val="24"/>
                <w:szCs w:val="24"/>
                <w:color w:val="auto"/>
              </w:rPr>
            </w:pPr>
          </w:p>
        </w:tc>
        <w:tc>
          <w:tcPr>
            <w:tcW w:w="140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9.2</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1.1</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58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340" w:type="dxa"/>
            <w:vAlign w:val="bottom"/>
            <w:shd w:val="clear" w:color="auto" w:fill="DCE2EF"/>
          </w:tcPr>
          <w:p>
            <w:pPr>
              <w:spacing w:after="0"/>
              <w:rPr>
                <w:sz w:val="24"/>
                <w:szCs w:val="24"/>
                <w:color w:val="auto"/>
              </w:rPr>
            </w:pPr>
          </w:p>
        </w:tc>
        <w:tc>
          <w:tcPr>
            <w:tcW w:w="140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5.9</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0.4</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24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340" w:type="dxa"/>
            <w:vAlign w:val="bottom"/>
            <w:shd w:val="clear" w:color="auto" w:fill="DCE2EF"/>
          </w:tcPr>
          <w:p>
            <w:pPr>
              <w:spacing w:after="0"/>
              <w:rPr>
                <w:sz w:val="24"/>
                <w:szCs w:val="24"/>
                <w:color w:val="auto"/>
              </w:rPr>
            </w:pPr>
          </w:p>
        </w:tc>
        <w:tc>
          <w:tcPr>
            <w:tcW w:w="140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1.2</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(228)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340" w:type="dxa"/>
            <w:vAlign w:val="bottom"/>
            <w:shd w:val="clear" w:color="auto" w:fill="DCE2EF"/>
          </w:tcPr>
          <w:p>
            <w:pPr>
              <w:spacing w:after="0"/>
              <w:rPr>
                <w:sz w:val="24"/>
                <w:szCs w:val="24"/>
                <w:color w:val="auto"/>
              </w:rPr>
            </w:pPr>
          </w:p>
        </w:tc>
        <w:tc>
          <w:tcPr>
            <w:tcW w:w="1520" w:type="dxa"/>
            <w:vAlign w:val="bottom"/>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(0.7)</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0.7</w:t>
            </w:r>
          </w:p>
        </w:tc>
        <w:tc>
          <w:tcPr>
            <w:tcW w:w="134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520" w:type="dxa"/>
            <w:vAlign w:val="bottom"/>
            <w:gridSpan w:val="2"/>
          </w:tcPr>
          <w:p>
            <w:pPr>
              <w:ind w:left="960"/>
              <w:spacing w:after="0"/>
              <w:rPr>
                <w:sz w:val="20"/>
                <w:szCs w:val="20"/>
                <w:color w:val="auto"/>
              </w:rPr>
            </w:pPr>
            <w:r>
              <w:rPr>
                <w:rFonts w:ascii="Arial" w:cs="Arial" w:eastAsia="Arial" w:hAnsi="Arial"/>
                <w:sz w:val="14"/>
                <w:szCs w:val="14"/>
                <w:i w:val="1"/>
                <w:iCs w:val="1"/>
                <w:color w:val="auto"/>
              </w:rPr>
              <w:t>NM*</w:t>
            </w:r>
          </w:p>
        </w:tc>
        <w:tc>
          <w:tcPr>
            <w:tcW w:w="400" w:type="dxa"/>
            <w:vAlign w:val="bottom"/>
          </w:tcPr>
          <w:p>
            <w:pPr>
              <w:spacing w:after="0"/>
              <w:rPr>
                <w:sz w:val="22"/>
                <w:szCs w:val="22"/>
                <w:color w:val="auto"/>
              </w:rPr>
            </w:pPr>
          </w:p>
        </w:tc>
        <w:tc>
          <w:tcPr>
            <w:tcW w:w="1440" w:type="dxa"/>
            <w:vAlign w:val="bottom"/>
            <w:gridSpan w:val="2"/>
          </w:tcPr>
          <w:p>
            <w:pPr>
              <w:ind w:left="900"/>
              <w:spacing w:after="0"/>
              <w:rPr>
                <w:sz w:val="20"/>
                <w:szCs w:val="20"/>
                <w:color w:val="auto"/>
              </w:rPr>
            </w:pPr>
            <w:r>
              <w:rPr>
                <w:rFonts w:ascii="Arial" w:cs="Arial" w:eastAsia="Arial" w:hAnsi="Arial"/>
                <w:sz w:val="14"/>
                <w:szCs w:val="14"/>
                <w:i w:val="1"/>
                <w:iCs w:val="1"/>
                <w:color w:val="auto"/>
              </w:rPr>
              <w:t>NM*</w:t>
            </w: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NM*</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Corporate</w:t>
            </w:r>
          </w:p>
        </w:tc>
        <w:tc>
          <w:tcPr>
            <w:tcW w:w="340" w:type="dxa"/>
            <w:vAlign w:val="bottom"/>
            <w:shd w:val="clear" w:color="auto" w:fill="DCE2EF"/>
          </w:tcPr>
          <w:p>
            <w:pPr>
              <w:spacing w:after="0"/>
              <w:rPr>
                <w:sz w:val="24"/>
                <w:szCs w:val="24"/>
                <w:color w:val="auto"/>
              </w:rPr>
            </w:pPr>
          </w:p>
        </w:tc>
        <w:tc>
          <w:tcPr>
            <w:tcW w:w="140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2.7</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8"/>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960" w:type="dxa"/>
            <w:vAlign w:val="bottom"/>
            <w:gridSpan w:val="2"/>
          </w:tcPr>
          <w:p>
            <w:pPr>
              <w:ind w:left="160"/>
              <w:spacing w:after="0"/>
              <w:rPr>
                <w:sz w:val="20"/>
                <w:szCs w:val="20"/>
                <w:color w:val="auto"/>
              </w:rPr>
            </w:pPr>
            <w:r>
              <w:rPr>
                <w:rFonts w:ascii="Arial" w:cs="Arial" w:eastAsia="Arial" w:hAnsi="Arial"/>
                <w:sz w:val="16"/>
                <w:szCs w:val="16"/>
                <w:color w:val="auto"/>
              </w:rPr>
              <w:t>Aviation</w:t>
            </w:r>
          </w:p>
        </w:tc>
        <w:tc>
          <w:tcPr>
            <w:tcW w:w="340" w:type="dxa"/>
            <w:vAlign w:val="bottom"/>
          </w:tcPr>
          <w:p>
            <w:pPr>
              <w:spacing w:after="0"/>
              <w:rPr>
                <w:sz w:val="17"/>
                <w:szCs w:val="17"/>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28"/>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Adjustment for tax deductions for energy efficient government</w:t>
            </w:r>
          </w:p>
        </w:tc>
        <w:tc>
          <w:tcPr>
            <w:tcW w:w="340" w:type="dxa"/>
            <w:vAlign w:val="bottom"/>
            <w:shd w:val="clear" w:color="auto" w:fill="DCE2EF"/>
          </w:tcPr>
          <w:p>
            <w:pPr>
              <w:spacing w:after="0"/>
              <w:rPr>
                <w:sz w:val="19"/>
                <w:szCs w:val="19"/>
                <w:color w:val="auto"/>
              </w:rPr>
            </w:pPr>
          </w:p>
        </w:tc>
        <w:tc>
          <w:tcPr>
            <w:tcW w:w="14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DCE2EF"/>
          </w:tcPr>
          <w:p>
            <w:pPr>
              <w:spacing w:after="0"/>
              <w:rPr>
                <w:sz w:val="18"/>
                <w:szCs w:val="18"/>
                <w:color w:val="auto"/>
              </w:rPr>
            </w:pPr>
          </w:p>
        </w:tc>
        <w:tc>
          <w:tcPr>
            <w:tcW w:w="496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340" w:type="dxa"/>
            <w:vAlign w:val="bottom"/>
            <w:shd w:val="clear" w:color="auto" w:fill="DCE2EF"/>
          </w:tcPr>
          <w:p>
            <w:pPr>
              <w:spacing w:after="0"/>
              <w:rPr>
                <w:sz w:val="18"/>
                <w:szCs w:val="18"/>
                <w:color w:val="auto"/>
              </w:rPr>
            </w:pPr>
          </w:p>
        </w:tc>
        <w:tc>
          <w:tcPr>
            <w:tcW w:w="1520" w:type="dxa"/>
            <w:vAlign w:val="bottom"/>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DCE2EF"/>
          </w:tcPr>
          <w:p>
            <w:pPr>
              <w:spacing w:after="0"/>
              <w:rPr>
                <w:sz w:val="18"/>
                <w:szCs w:val="18"/>
                <w:color w:val="auto"/>
              </w:rPr>
            </w:pP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0.3</w:t>
            </w:r>
          </w:p>
        </w:tc>
        <w:tc>
          <w:tcPr>
            <w:tcW w:w="134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10.8</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*Not meaningful</w:t>
            </w: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41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774.5</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756.3</w:t>
            </w:r>
          </w:p>
        </w:tc>
        <w:tc>
          <w:tcPr>
            <w:tcW w:w="100" w:type="dxa"/>
            <w:vAlign w:val="bottom"/>
            <w:shd w:val="clear" w:color="auto" w:fill="DCE2EF"/>
          </w:tcPr>
          <w:p>
            <w:pPr>
              <w:spacing w:after="0"/>
              <w:rPr>
                <w:sz w:val="22"/>
                <w:szCs w:val="22"/>
                <w:color w:val="auto"/>
              </w:rPr>
            </w:pPr>
          </w:p>
        </w:tc>
        <w:tc>
          <w:tcPr>
            <w:tcW w:w="72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8"/>
                <w:szCs w:val="18"/>
                <w:color w:val="auto"/>
              </w:rPr>
              <w:t>18.2</w:t>
            </w:r>
          </w:p>
        </w:tc>
        <w:tc>
          <w:tcPr>
            <w:tcW w:w="132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2.4%</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8.0</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27.8%</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4.7%</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DCE2EF"/>
          </w:tcPr>
          <w:p>
            <w:pPr>
              <w:spacing w:after="0"/>
              <w:rPr>
                <w:sz w:val="24"/>
                <w:szCs w:val="24"/>
                <w:color w:val="auto"/>
              </w:rPr>
            </w:pPr>
          </w:p>
        </w:tc>
        <w:tc>
          <w:tcPr>
            <w:tcW w:w="720" w:type="dxa"/>
            <w:vAlign w:val="bottom"/>
            <w:shd w:val="clear" w:color="auto" w:fill="DCE2EF"/>
          </w:tcPr>
          <w:p>
            <w:pPr>
              <w:spacing w:after="0"/>
              <w:rPr>
                <w:sz w:val="24"/>
                <w:szCs w:val="24"/>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94 bps</w:t>
            </w:r>
          </w:p>
        </w:tc>
        <w:tc>
          <w:tcPr>
            <w:tcW w:w="132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B&amp;I revenues increased by $18.2 million, or 2.4%, during the three months ended January 31, 2019, as compared to the three months ended January 31, 2018. The increase was primarily attributable to organic growth, including the expansion of a contract that started in 2018 in our U.K. business, targeted expansion of certain key clients within our U.S. business, and additional tag revenue from the holiday season. Management reimbursement revenues for this segment totaled $66.3 million and $63.0 million for the three months ended January 31, 2019 and 2018, respectively.</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360" w:right="239" w:bottom="1440" w:gutter="0" w:footer="0" w:header="0"/>
          <w:type w:val="continuous"/>
        </w:sectPr>
      </w:pPr>
    </w:p>
    <w:bookmarkStart w:id="36" w:name="page37"/>
    <w:bookmarkEnd w:id="36"/>
    <w:p>
      <w:pPr>
        <w:jc w:val="both"/>
        <w:ind w:firstLine="648"/>
        <w:spacing w:after="0" w:line="252" w:lineRule="auto"/>
        <w:rPr>
          <w:sz w:val="20"/>
          <w:szCs w:val="20"/>
          <w:color w:val="auto"/>
        </w:rPr>
      </w:pPr>
      <w:r>
        <w:rPr>
          <w:rFonts w:ascii="Arial" w:cs="Arial" w:eastAsia="Arial" w:hAnsi="Arial"/>
          <w:sz w:val="18"/>
          <w:szCs w:val="18"/>
          <w:color w:val="auto"/>
        </w:rPr>
        <w:t>Operating profit increased by $8.0 million, or 27.8%, during the three months ended January 31, 2019, as compared to the three months ended January 31, 2018. Operating profit margin increased by 94 bps to 4.7% in the three months ended January 31, 2019 from 3.8% in the three months ended January 31, 2018. The increase in operating profit margin was primarily associated with higher margins on certain accounts in our U.S. business, a decrease in unemployment taxes in certain states, and lower legal settlement costs. This increase was partially offset by lower margins on certain accounts in our U.K. business and a provision for the settlement of a union health and welfare benefits audit. While labor challenges are present in certain areas of our B&amp;I business, it is our most mature business and has the highest proportion of unionized labor.</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252.4</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DCE2EF"/>
          </w:tcPr>
          <w:p>
            <w:pPr>
              <w:spacing w:after="0"/>
              <w:rPr>
                <w:sz w:val="22"/>
                <w:szCs w:val="22"/>
                <w:color w:val="auto"/>
              </w:rPr>
            </w:pPr>
          </w:p>
        </w:tc>
        <w:tc>
          <w:tcPr>
            <w:tcW w:w="660" w:type="dxa"/>
            <w:vAlign w:val="bottom"/>
            <w:shd w:val="clear" w:color="auto" w:fill="DCE2EF"/>
          </w:tcPr>
          <w:p>
            <w:pPr>
              <w:jc w:val="right"/>
              <w:ind w:right="4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DCE2EF"/>
          </w:tcPr>
          <w:p>
            <w:pPr>
              <w:jc w:val="right"/>
              <w:ind w:right="534"/>
              <w:spacing w:after="0"/>
              <w:rPr>
                <w:sz w:val="20"/>
                <w:szCs w:val="20"/>
                <w:color w:val="auto"/>
              </w:rPr>
            </w:pPr>
            <w:r>
              <w:rPr>
                <w:rFonts w:ascii="Arial" w:cs="Arial" w:eastAsia="Arial" w:hAnsi="Arial"/>
                <w:sz w:val="18"/>
                <w:szCs w:val="18"/>
                <w:color w:val="auto"/>
              </w:rPr>
              <w:t>(7.7)</w:t>
            </w:r>
          </w:p>
        </w:tc>
        <w:tc>
          <w:tcPr>
            <w:tcW w:w="134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(2.9)%</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40" w:type="dxa"/>
            <w:vAlign w:val="bottom"/>
          </w:tcPr>
          <w:p>
            <w:pPr>
              <w:jc w:val="right"/>
              <w:ind w:right="534"/>
              <w:spacing w:after="0"/>
              <w:rPr>
                <w:sz w:val="20"/>
                <w:szCs w:val="20"/>
                <w:color w:val="auto"/>
              </w:rPr>
            </w:pPr>
            <w:r>
              <w:rPr>
                <w:rFonts w:ascii="Arial" w:cs="Arial" w:eastAsia="Arial" w:hAnsi="Arial"/>
                <w:sz w:val="18"/>
                <w:szCs w:val="18"/>
                <w:color w:val="auto"/>
              </w:rPr>
              <w:t>(1.9)</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(32.2)%</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1.6%</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2.2%</w:t>
            </w:r>
          </w:p>
        </w:tc>
        <w:tc>
          <w:tcPr>
            <w:tcW w:w="10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(67) bps</w:t>
            </w:r>
          </w:p>
        </w:tc>
        <w:tc>
          <w:tcPr>
            <w:tcW w:w="134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Aviation revenues decreased by $7.7 million, or 2.9%, during the three months ended January 31, 2019, as compared to the three months ended January 31, 2018. The decrease was primarily attributable to a reclassification of $11.1 million of rent expense related to service concession arrangements due to the adoption of Topic 853. This expense is now recorded as a reduction of revenues, but had previously been recorded as an operating expense. The decrease was also due to the loss of certain facility services and passenger services accounts, partially offset by organic growth in catering logistics. Management reimbursement revenues for this segment totaled $24.2 million and $25.5 million for the three months ended January 31, 2019 and 2018, respectively.</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$1.9 million, or 32.2%, during the three months ended January 31, 2019, as compared to the three months ended January 31, 2018. Operating profit margin decreased by 67 bps to 1.6% in the three months ended January 31, 2019 from 2.2% in the three months ended January 31, 2018. The decrease in operating profit margin was primarily attributable to operational issues on certain accounts, but was partially offset by higher margins on certain new contracts.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40" w:type="dxa"/>
            <w:vAlign w:val="bottom"/>
          </w:tcPr>
          <w:p>
            <w:pPr>
              <w:jc w:val="right"/>
              <w:ind w:right="114"/>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DCE2EF"/>
          </w:tcPr>
          <w:p>
            <w:pPr>
              <w:spacing w:after="0"/>
              <w:rPr>
                <w:sz w:val="22"/>
                <w:szCs w:val="22"/>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94"/>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DCE2EF"/>
          </w:tcPr>
          <w:p>
            <w:pPr>
              <w:spacing w:after="0"/>
              <w:rPr>
                <w:sz w:val="22"/>
                <w:szCs w:val="22"/>
                <w:color w:val="auto"/>
              </w:rPr>
            </w:pPr>
          </w:p>
        </w:tc>
        <w:tc>
          <w:tcPr>
            <w:tcW w:w="70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ind w:right="654"/>
              <w:spacing w:after="0"/>
              <w:rPr>
                <w:sz w:val="20"/>
                <w:szCs w:val="20"/>
                <w:color w:val="auto"/>
              </w:rPr>
            </w:pPr>
            <w:r>
              <w:rPr>
                <w:rFonts w:ascii="Arial" w:cs="Arial" w:eastAsia="Arial" w:hAnsi="Arial"/>
                <w:sz w:val="18"/>
                <w:szCs w:val="18"/>
                <w:color w:val="auto"/>
              </w:rPr>
              <w:t>3.9</w:t>
            </w:r>
          </w:p>
        </w:tc>
        <w:tc>
          <w:tcPr>
            <w:tcW w:w="130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1.7%</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22"/>
                <w:szCs w:val="22"/>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40" w:type="dxa"/>
            <w:vAlign w:val="bottom"/>
          </w:tcPr>
          <w:p>
            <w:pPr>
              <w:jc w:val="right"/>
              <w:ind w:right="654"/>
              <w:spacing w:after="0"/>
              <w:rPr>
                <w:sz w:val="20"/>
                <w:szCs w:val="20"/>
                <w:color w:val="auto"/>
              </w:rPr>
            </w:pPr>
            <w:r>
              <w:rPr>
                <w:rFonts w:ascii="Arial" w:cs="Arial" w:eastAsia="Arial" w:hAnsi="Arial"/>
                <w:sz w:val="18"/>
                <w:szCs w:val="18"/>
                <w:color w:val="auto"/>
              </w:rPr>
              <w:t>1.3</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8.0%</w:t>
            </w:r>
          </w:p>
        </w:tc>
      </w:tr>
      <w:tr>
        <w:trPr>
          <w:trHeight w:val="277"/>
        </w:trPr>
        <w:tc>
          <w:tcPr>
            <w:tcW w:w="2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shd w:val="clear" w:color="auto" w:fill="DCE2EF"/>
          </w:tcPr>
          <w:p>
            <w:pPr>
              <w:spacing w:after="0"/>
              <w:rPr>
                <w:sz w:val="24"/>
                <w:szCs w:val="24"/>
                <w:color w:val="auto"/>
              </w:rPr>
            </w:pPr>
          </w:p>
        </w:tc>
        <w:tc>
          <w:tcPr>
            <w:tcW w:w="15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7.7%</w:t>
            </w:r>
          </w:p>
        </w:tc>
        <w:tc>
          <w:tcPr>
            <w:tcW w:w="12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w:t>
            </w:r>
          </w:p>
        </w:tc>
        <w:tc>
          <w:tcPr>
            <w:tcW w:w="10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654"/>
              <w:spacing w:after="0"/>
              <w:rPr>
                <w:sz w:val="20"/>
                <w:szCs w:val="20"/>
                <w:color w:val="auto"/>
              </w:rPr>
            </w:pPr>
            <w:r>
              <w:rPr>
                <w:rFonts w:ascii="Arial" w:cs="Arial" w:eastAsia="Arial" w:hAnsi="Arial"/>
                <w:sz w:val="14"/>
                <w:szCs w:val="14"/>
                <w:i w:val="1"/>
                <w:iCs w:val="1"/>
                <w:color w:val="auto"/>
              </w:rPr>
              <w:t>45 bps</w:t>
            </w:r>
          </w:p>
        </w:tc>
        <w:tc>
          <w:tcPr>
            <w:tcW w:w="130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T&amp;M revenues increased by $3.9 million, or 1.7%, during the three months ended January 31, 2019, as compared to the three months ended January 31, 2018. The increase was primarily related to the expansion of existing accounts and net new business.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$1.3 million, or 8.0%, during the three months ended January 31, 2019, as compared to the three months ended January 31, 2018. Operating profit margin increased by 45 bps to 7.7% in the three months ended January 31, 2019 from 7.3% in the three months ended January 31, 2018. The increase in operating profit margin was primarily attributable to improved margins on certain accounts and the loss of a low margin account in the prior year, partially offset by specific reserves established for client receivables and an increase in wages and related personnel costs.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4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Education</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DCE2EF"/>
          </w:tcPr>
          <w:p>
            <w:pPr>
              <w:jc w:val="right"/>
              <w:ind w:right="314"/>
              <w:spacing w:after="0"/>
              <w:rPr>
                <w:sz w:val="20"/>
                <w:szCs w:val="20"/>
                <w:color w:val="auto"/>
              </w:rPr>
            </w:pPr>
            <w:r>
              <w:rPr>
                <w:rFonts w:ascii="Arial" w:cs="Arial" w:eastAsia="Arial" w:hAnsi="Arial"/>
                <w:sz w:val="18"/>
                <w:szCs w:val="18"/>
                <w:color w:val="auto"/>
              </w:rPr>
              <w:t>(2.2)</w:t>
            </w:r>
          </w:p>
        </w:tc>
        <w:tc>
          <w:tcPr>
            <w:tcW w:w="15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(1.1)%</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1.1</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11.8%</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4.4%</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58 bps</w:t>
            </w:r>
          </w:p>
        </w:tc>
        <w:tc>
          <w:tcPr>
            <w:tcW w:w="156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Education revenues decreased by $2.2 million, or 1.1%, during the three months ended January 31, 2019, as compared to the three months ended January 31, 2018. The decrease was attributable to the loss of certain accounts in the prior year, partially offset by new business.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$1.1 million, or 11.8%, during the three months ended January 31, 2019, as compared to the three months ended January 31, 2018. Operating profit margin increased by 58 bps to 5.0% in the three months ended January 31, 2019 from 4.4% in the three months ended January 31, 2018. The increase in operating profit margin was primarily attributable to certain synergies and the loss of certain lower margin contracts in the prior year, partially offset by an increase in wages and related personnel costs.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Technical Solutions</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DCE2EF"/>
          </w:tcPr>
          <w:p>
            <w:pPr>
              <w:spacing w:after="0"/>
              <w:rPr>
                <w:sz w:val="22"/>
                <w:szCs w:val="22"/>
                <w:color w:val="auto"/>
              </w:rPr>
            </w:pPr>
          </w:p>
        </w:tc>
        <w:tc>
          <w:tcPr>
            <w:tcW w:w="72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DCE2EF"/>
          </w:tcPr>
          <w:p>
            <w:pPr>
              <w:jc w:val="right"/>
              <w:ind w:right="634"/>
              <w:spacing w:after="0"/>
              <w:rPr>
                <w:sz w:val="20"/>
                <w:szCs w:val="20"/>
                <w:color w:val="auto"/>
              </w:rPr>
            </w:pPr>
            <w:r>
              <w:rPr>
                <w:rFonts w:ascii="Arial" w:cs="Arial" w:eastAsia="Arial" w:hAnsi="Arial"/>
                <w:sz w:val="18"/>
                <w:szCs w:val="18"/>
                <w:color w:val="auto"/>
              </w:rPr>
              <w:t>3.9</w:t>
            </w:r>
          </w:p>
        </w:tc>
        <w:tc>
          <w:tcPr>
            <w:tcW w:w="130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3.7%</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20" w:type="dxa"/>
            <w:vAlign w:val="bottom"/>
          </w:tcPr>
          <w:p>
            <w:pPr>
              <w:jc w:val="right"/>
              <w:ind w:right="634"/>
              <w:spacing w:after="0"/>
              <w:rPr>
                <w:sz w:val="20"/>
                <w:szCs w:val="20"/>
                <w:color w:val="auto"/>
              </w:rPr>
            </w:pPr>
            <w:r>
              <w:rPr>
                <w:rFonts w:ascii="Arial" w:cs="Arial" w:eastAsia="Arial" w:hAnsi="Arial"/>
                <w:sz w:val="18"/>
                <w:szCs w:val="18"/>
                <w:color w:val="auto"/>
              </w:rPr>
              <w:t>0.4</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8.5%</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5.5%</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5.3%</w:t>
            </w:r>
          </w:p>
        </w:tc>
        <w:tc>
          <w:tcPr>
            <w:tcW w:w="100" w:type="dxa"/>
            <w:vAlign w:val="bottom"/>
            <w:shd w:val="clear" w:color="auto" w:fill="DCE2EF"/>
          </w:tcPr>
          <w:p>
            <w:pPr>
              <w:spacing w:after="0"/>
              <w:rPr>
                <w:sz w:val="24"/>
                <w:szCs w:val="24"/>
                <w:color w:val="auto"/>
              </w:rPr>
            </w:pPr>
          </w:p>
        </w:tc>
        <w:tc>
          <w:tcPr>
            <w:tcW w:w="720" w:type="dxa"/>
            <w:vAlign w:val="bottom"/>
            <w:shd w:val="clear" w:color="auto" w:fill="DCE2EF"/>
          </w:tcPr>
          <w:p>
            <w:pPr>
              <w:spacing w:after="0"/>
              <w:rPr>
                <w:sz w:val="24"/>
                <w:szCs w:val="24"/>
                <w:color w:val="auto"/>
              </w:rPr>
            </w:pPr>
          </w:p>
        </w:tc>
        <w:tc>
          <w:tcPr>
            <w:tcW w:w="1720" w:type="dxa"/>
            <w:vAlign w:val="bottom"/>
            <w:shd w:val="clear" w:color="auto" w:fill="DCE2EF"/>
          </w:tcPr>
          <w:p>
            <w:pPr>
              <w:jc w:val="right"/>
              <w:ind w:right="634"/>
              <w:spacing w:after="0"/>
              <w:rPr>
                <w:sz w:val="20"/>
                <w:szCs w:val="20"/>
                <w:color w:val="auto"/>
              </w:rPr>
            </w:pPr>
            <w:r>
              <w:rPr>
                <w:rFonts w:ascii="Arial" w:cs="Arial" w:eastAsia="Arial" w:hAnsi="Arial"/>
                <w:sz w:val="14"/>
                <w:szCs w:val="14"/>
                <w:i w:val="1"/>
                <w:iCs w:val="1"/>
                <w:color w:val="auto"/>
              </w:rPr>
              <w:t>24 bps</w:t>
            </w:r>
          </w:p>
        </w:tc>
        <w:tc>
          <w:tcPr>
            <w:tcW w:w="130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Technical Solutions revenues increased by $3.9 million, or 3.7%, during the three months ended January 31, 2019, as compared to the three months ended January 31, 2018. This increase was primarily attributable to growth in our U.S. business related to power projects and bundled energy solutions projects due to the timing of bookings, partially offset by the contraction of certain accounts in our U.K. business.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$0.4 million, or 8.5%, during the three months ended January 31, 2019, as compared to the three months ended January 31, 2018. Operating profit margin increased by 24 bps to 5.5% in the three months ended January 31, 2019 from 5.3% in the three months ended January 31, 2018. The increase in operating profit margin was primarily attributable to a decrease in sales commissions expense in the current year due to the adoption of Topic 606. These amounts were previously expensed when incurred, but are now capitalized and amortized over the weighted average expected customer relationship period. The increase was also due to lower amortization expense. The increase was partially offset by lower margins on certain power projects and on energy savings performance contracts in our U.S. business, the loss of certain higher margin contracts in our U.K. business, and specific reserves established for certain client receivables.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Healthcare</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8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DCE2EF"/>
          </w:tcPr>
          <w:p>
            <w:pPr>
              <w:spacing w:after="0"/>
              <w:rPr>
                <w:sz w:val="22"/>
                <w:szCs w:val="22"/>
                <w:color w:val="auto"/>
              </w:rPr>
            </w:pPr>
          </w:p>
        </w:tc>
        <w:tc>
          <w:tcPr>
            <w:tcW w:w="620" w:type="dxa"/>
            <w:vAlign w:val="bottom"/>
            <w:shd w:val="clear" w:color="auto" w:fill="DCE2EF"/>
          </w:tcPr>
          <w:p>
            <w:pPr>
              <w:jc w:val="right"/>
              <w:ind w:right="3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534"/>
              <w:spacing w:after="0"/>
              <w:rPr>
                <w:sz w:val="20"/>
                <w:szCs w:val="20"/>
                <w:color w:val="auto"/>
              </w:rPr>
            </w:pPr>
            <w:r>
              <w:rPr>
                <w:rFonts w:ascii="Arial" w:cs="Arial" w:eastAsia="Arial" w:hAnsi="Arial"/>
                <w:sz w:val="18"/>
                <w:szCs w:val="18"/>
                <w:color w:val="auto"/>
              </w:rPr>
              <w:t>(1.0)</w:t>
            </w:r>
          </w:p>
        </w:tc>
        <w:tc>
          <w:tcPr>
            <w:tcW w:w="134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(1.6)%</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780" w:type="dxa"/>
            <w:vAlign w:val="bottom"/>
          </w:tcPr>
          <w:p>
            <w:pPr>
              <w:jc w:val="right"/>
              <w:ind w:right="534"/>
              <w:spacing w:after="0"/>
              <w:rPr>
                <w:sz w:val="20"/>
                <w:szCs w:val="20"/>
                <w:color w:val="auto"/>
              </w:rPr>
            </w:pPr>
            <w:r>
              <w:rPr>
                <w:rFonts w:ascii="Arial" w:cs="Arial" w:eastAsia="Arial" w:hAnsi="Arial"/>
                <w:sz w:val="18"/>
                <w:szCs w:val="18"/>
                <w:color w:val="auto"/>
              </w:rPr>
              <w:t>(1.5)</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(57.5)%</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1.7%</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78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(228) bps</w:t>
            </w:r>
          </w:p>
        </w:tc>
        <w:tc>
          <w:tcPr>
            <w:tcW w:w="134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Healthcare revenues decreased by $1.0 million, or 1.6%, during the three months ended January 31, 2019, as compared to the three months ended January 31, 2018.</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$1.5 million, or 57.5%, during the three months ended January 31, 2019, as compared to the three months ended January 31, 2018. Operating profit margin decreased by 228 bps to 1.7% in the three months ended January 31, 2019 from 4.0% in the three months ended January 31, 2018. This decrease was primarily attributable to the loss of certain contracts, lower margin new business, and specific reserves established for client receivables.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7"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9"/>
        </w:trPr>
        <w:tc>
          <w:tcPr>
            <w:tcW w:w="37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Corporate</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rPr>
              <w:t>Decrease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Corporate expenses</w:t>
            </w:r>
          </w:p>
        </w:tc>
        <w:tc>
          <w:tcPr>
            <w:tcW w:w="1260" w:type="dxa"/>
            <w:vAlign w:val="bottom"/>
            <w:shd w:val="clear" w:color="auto" w:fill="DCE2EF"/>
          </w:tcPr>
          <w:p>
            <w:pPr>
              <w:jc w:val="right"/>
              <w:ind w:right="1030"/>
              <w:spacing w:after="0"/>
              <w:rPr>
                <w:sz w:val="20"/>
                <w:szCs w:val="20"/>
                <w:color w:val="auto"/>
              </w:rPr>
            </w:pPr>
            <w:r>
              <w:rPr>
                <w:rFonts w:ascii="Arial" w:cs="Arial" w:eastAsia="Arial" w:hAnsi="Arial"/>
                <w:sz w:val="18"/>
                <w:szCs w:val="18"/>
                <w:color w:val="auto"/>
              </w:rPr>
              <w:t>$</w:t>
            </w:r>
          </w:p>
        </w:tc>
        <w:tc>
          <w:tcPr>
            <w:tcW w:w="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DCE2EF"/>
          </w:tcPr>
          <w:p>
            <w:pPr>
              <w:spacing w:after="0"/>
              <w:rPr>
                <w:sz w:val="22"/>
                <w:szCs w:val="22"/>
                <w:color w:val="auto"/>
              </w:rPr>
            </w:pPr>
          </w:p>
        </w:tc>
        <w:tc>
          <w:tcPr>
            <w:tcW w:w="1360" w:type="dxa"/>
            <w:vAlign w:val="bottom"/>
            <w:shd w:val="clear" w:color="auto" w:fill="DCE2E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6"/>
              </w:rPr>
              <w:t>47.4</w:t>
            </w:r>
          </w:p>
        </w:tc>
        <w:tc>
          <w:tcPr>
            <w:tcW w:w="100" w:type="dxa"/>
            <w:vAlign w:val="bottom"/>
            <w:shd w:val="clear" w:color="auto" w:fill="DCE2EF"/>
          </w:tcPr>
          <w:p>
            <w:pPr>
              <w:spacing w:after="0"/>
              <w:rPr>
                <w:sz w:val="22"/>
                <w:szCs w:val="22"/>
                <w:color w:val="auto"/>
              </w:rPr>
            </w:pPr>
          </w:p>
        </w:tc>
        <w:tc>
          <w:tcPr>
            <w:tcW w:w="78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rPr>
              <w:t>(2.7)</w:t>
            </w:r>
          </w:p>
        </w:tc>
        <w:tc>
          <w:tcPr>
            <w:tcW w:w="132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(5.7)%</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decreased by $2.7 million, or 5.7%, during the three months ended January 31, 2019, as compared to the three months ended January 31, 2018. The decrease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$10.5 million decrease in restructuring and related expenses as a result of restructuring expenses, mainly severance, incurred in the prior year following the acquisition of GCA, partially offset by continued integration expenses in the current year;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$1.7 million lower compensation and related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of $1.4 million of acquisition costs related to the GCA acquisition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absence of a $4.0 million reimbursement of previously expensed legal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$3.7 million increase in technology investments and related support;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$3.0 million higher adjustment to self-insurance reserves related to prior year claims as a result of an actuarial review completed in the three months ended January 31, 2019.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7" w:right="239"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normal working capital requirements, we anticipate that our short- and long-term cash requirements will include funding legal settlements, insurance claims, dividend payments, capital expenditures, and integration costs related to the GCA acquisition. We anticipate long-term cash uses will also include strategic acquisitions and share repurchases.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credit facility are sufficient to fund our cash requirements for the next twelve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a long-term basis, we will continue to rely on our credit facility for any long-term funding not provided by operating cash flows. In addition, we anticipate that future cash generated from operations will be augmented by working capital improvements driven by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000000"/>
        </w:rPr>
        <w:t>, such as the management of costs through consolidated procurement.</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IFM Assurance Company (“IFM”) is a wholly-owned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In 2019, we expect accelerated cash tax savings related to coverage provided by IFM to be approximately $5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Initial borrowings under the Credit Facility were used to finance, in part, the cash portion of the purchase price related to the GCA acquisition, to refinance certain existing indebtedness of ABM, and to pay transaction costs.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draw down available capacity under the Credit Facility, as amended, is subject to, and limited by, compliance with certain financial covenants, which include a maximum leverage ratio of 4.50 to 1.0, which steps down to 3.50 to 1.0 by July 2021, and a minimum fixed charge coverage ratio of 1.50 to 1.0. Other covenants under the Credit Facility include limitations on liens, dispositions, fundamental changes, investments, and certain transactions and payments. At January 31, 2019, we were in compliance with these covenants and expect to be in compliance in the foreseeable future.</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quarter of 2019, we made $10.0 million of principal payments under the Credit Facility. At January 31, 2019, the total outstanding borrowings under our Credit Facility in the form of cash borrowings and standby letters of credit were $997.0 million and $152.4 million, respectively. At January 31, 2019, we had up to $410.2 million of borrowing capacity under the Credit Facility; however, covenant restrictions limited our actual borrowing capacity to $352.5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Act, no deferred tax liabilities with respect to federal and state income taxes or foreign withholding taxes have been recognized.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There were no share repurchases during the three months ended January 31, 2019. At January 31, 2019, authorization for $134.1 million of repurchases remained under our share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used in operating activities was $39.3 million during the three months ended January 31, 2019. Typically, our total operating cash flows in the first quarter are lower than in subsequent quarters of the year, primarily due to the timing of certain working capital requirements during the first quarter. We expect operating activities of continuing operations to provide positive cash flows for 2019.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29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28575</wp:posOffset>
            </wp:positionV>
            <wp:extent cx="23241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70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772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(used in) provided by operating activities</w:t>
            </w: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33.7</w:t>
            </w:r>
          </w:p>
        </w:tc>
      </w:tr>
      <w:tr>
        <w:trPr>
          <w:trHeight w:val="263"/>
        </w:trPr>
        <w:tc>
          <w:tcPr>
            <w:tcW w:w="77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7"/>
        </w:trPr>
        <w:tc>
          <w:tcPr>
            <w:tcW w:w="77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DCE2EF"/>
          </w:tcPr>
          <w:p>
            <w:pPr>
              <w:spacing w:after="0"/>
              <w:rPr>
                <w:sz w:val="24"/>
                <w:szCs w:val="24"/>
                <w:color w:val="auto"/>
              </w:rPr>
            </w:pPr>
          </w:p>
        </w:tc>
        <w:tc>
          <w:tcPr>
            <w:tcW w:w="13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(14.3)</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operating activities was $39.3 million during the three months ended January 31, 2019, as compared to net cash provided by operating activities of $33.7 million during the three months ended January 31, 2018. This change was primarily related to the timing of client receivable collections.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decreased by $3.9 million during the three months ended January 31, 2019, as compared to the three months ended January 31, 2018. The decrease was primarily related to a working capital settlement associated with the GCA acquisition in the prior year.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financing activities was $42.0 million during the three months ended January 31, 2019 as compared to net cash used in financing activities of $14.3 million during the three months ended January 31, 2018. This change was primarily related to higher net borrowings of $46.7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2" w:right="239" w:bottom="1440" w:gutter="0" w:footer="0" w:header="0"/>
        </w:sectPr>
      </w:pPr>
    </w:p>
    <w:bookmarkStart w:id="41" w:name="page42"/>
    <w:bookmarkEnd w:id="41"/>
    <w:p>
      <w:pPr>
        <w:ind w:left="40"/>
        <w:spacing w:after="0"/>
        <w:rPr>
          <w:sz w:val="20"/>
          <w:szCs w:val="20"/>
          <w:color w:val="auto"/>
        </w:rPr>
      </w:pPr>
      <w:r>
        <w:rPr>
          <w:rFonts w:ascii="Arial" w:cs="Arial" w:eastAsia="Arial" w:hAnsi="Arial"/>
          <w:sz w:val="18"/>
          <w:szCs w:val="18"/>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January 31, 2019, the total amount accrued for all probable litigation losses where a reasonable estimate of the loss could be made was $12.1 million.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$6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additional information about our contingencies, see Note 9, “Commitments and Contingencies,” in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4" w:right="239" w:bottom="1440" w:gutter="0" w:footer="0" w:header="0"/>
        </w:sectPr>
      </w:pPr>
    </w:p>
    <w:bookmarkStart w:id="42" w:name="page43"/>
    <w:bookmarkEnd w:id="42"/>
    <w:p>
      <w:pPr>
        <w:ind w:left="40"/>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Our accompanying Financial Statements are prepared in accordance with United States generally accepted accounting principles (“U.S. GAAP”), which require us to make estimates in the application of our accounting policies based on the best assumptions, judgments, and opinions of our management. On November 1, 2018, 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ASU 2017-10, </w:t>
      </w:r>
      <w:r>
        <w:rPr>
          <w:rFonts w:ascii="Arial" w:cs="Arial" w:eastAsia="Arial" w:hAnsi="Arial"/>
          <w:sz w:val="18"/>
          <w:szCs w:val="18"/>
          <w:i w:val="1"/>
          <w:iCs w:val="1"/>
          <w:color w:val="auto"/>
        </w:rPr>
        <w:t>Service Concession Arrangements (Topic 853): Determining the Customer of the Operation Services.</w:t>
      </w:r>
      <w:r>
        <w:rPr>
          <w:rFonts w:ascii="Arial" w:cs="Arial" w:eastAsia="Arial" w:hAnsi="Arial"/>
          <w:sz w:val="18"/>
          <w:szCs w:val="18"/>
          <w:color w:val="auto"/>
        </w:rPr>
        <w:t xml:space="preserve"> Refer to Note 2, “Basis of Presentation and Significant Accounting Policies,” and Note 3, “Revenue,” in the Financial Statements for additional information regarding the impact of adopting these standards. Additionally, refer to Note 2, “Basis of Presentation and Significant Accounting Policies,” for other standards adopted during the first quarter of 2019, none of which had a material impact on our consolidated financial statements. There have been no other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Recent Accounting Pronouncements</w:t>
      </w:r>
    </w:p>
    <w:p>
      <w:pPr>
        <w:sectPr>
          <w:pgSz w:w="11900" w:h="16838" w:orient="portrait"/>
          <w:cols w:equalWidth="0" w:num="1">
            <w:col w:w="11420"/>
          </w:cols>
          <w:pgMar w:left="240" w:top="684" w:right="239" w:bottom="1440" w:gutter="0" w:footer="0" w:header="0"/>
        </w:sect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18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2820" w:val="left"/>
          <w:tab w:leader="none" w:pos="566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Effective Date/Method of Adoption</w:t>
        <w:tab/>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5342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2300" w:space="720"/>
            <w:col w:w="8400"/>
          </w:cols>
          <w:pgMar w:left="240" w:top="684" w:right="239" w:bottom="1440" w:gutter="0" w:footer="0" w:header="0"/>
          <w:type w:val="continuous"/>
        </w:sectPr>
      </w:pPr>
    </w:p>
    <w:p>
      <w:pPr>
        <w:ind w:left="40"/>
        <w:spacing w:after="0" w:line="249" w:lineRule="auto"/>
        <w:rPr>
          <w:sz w:val="20"/>
          <w:szCs w:val="20"/>
          <w:color w:val="auto"/>
        </w:rPr>
      </w:pPr>
      <w:r>
        <w:rPr>
          <w:rFonts w:ascii="Arial" w:cs="Arial" w:eastAsia="Arial" w:hAnsi="Arial"/>
          <w:sz w:val="16"/>
          <w:szCs w:val="16"/>
          <w:color w:val="auto"/>
        </w:rPr>
        <w:t>In November 2018, the Financial Accounting Standards Board (“FASB”) issued ASU 2018-18</w:t>
      </w:r>
      <w:r>
        <w:rPr>
          <w:rFonts w:ascii="Arial" w:cs="Arial" w:eastAsia="Arial" w:hAnsi="Arial"/>
          <w:sz w:val="16"/>
          <w:szCs w:val="16"/>
          <w:i w:val="1"/>
          <w:iCs w:val="1"/>
          <w:color w:val="auto"/>
        </w:rPr>
        <w:t>, Collaborative</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 (Topic 808): Clarifying the Interaction between Topic 808 and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1295400</wp:posOffset>
            </wp:positionV>
            <wp:extent cx="18180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820" w:val="left"/>
        </w:tabs>
        <w:rPr>
          <w:sz w:val="20"/>
          <w:szCs w:val="20"/>
          <w:color w:val="auto"/>
        </w:rPr>
      </w:pPr>
      <w:r>
        <w:rPr>
          <w:rFonts w:ascii="Arial" w:cs="Arial" w:eastAsia="Arial" w:hAnsi="Arial"/>
          <w:sz w:val="16"/>
          <w:szCs w:val="16"/>
          <w:color w:val="auto"/>
        </w:rPr>
        <w:t>This ASU provides guidance on</w:t>
      </w:r>
      <w:r>
        <w:rPr>
          <w:sz w:val="20"/>
          <w:szCs w:val="20"/>
          <w:color w:val="auto"/>
        </w:rPr>
        <w:tab/>
      </w:r>
      <w:r>
        <w:rPr>
          <w:rFonts w:ascii="Arial" w:cs="Arial" w:eastAsia="Arial" w:hAnsi="Arial"/>
          <w:sz w:val="16"/>
          <w:szCs w:val="16"/>
          <w:color w:val="auto"/>
        </w:rPr>
        <w:t>November 1, 2020, applied</w:t>
      </w:r>
    </w:p>
    <w:p>
      <w:pPr>
        <w:spacing w:after="0" w:line="5" w:lineRule="exact"/>
        <w:rPr>
          <w:sz w:val="20"/>
          <w:szCs w:val="20"/>
          <w:color w:val="auto"/>
        </w:rPr>
      </w:pPr>
    </w:p>
    <w:p>
      <w:pPr>
        <w:spacing w:after="0"/>
        <w:tabs>
          <w:tab w:leader="none" w:pos="2820" w:val="left"/>
        </w:tabs>
        <w:rPr>
          <w:sz w:val="20"/>
          <w:szCs w:val="20"/>
          <w:color w:val="auto"/>
        </w:rPr>
      </w:pPr>
      <w:r>
        <w:rPr>
          <w:rFonts w:ascii="Arial" w:cs="Arial" w:eastAsia="Arial" w:hAnsi="Arial"/>
          <w:sz w:val="16"/>
          <w:szCs w:val="16"/>
          <w:color w:val="auto"/>
        </w:rPr>
        <w:t>whether certain transactions between</w:t>
        <w:tab/>
        <w:t>retrospectively.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collaborative arrangement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participants should be accounted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revenue under Topic 606. 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specifically addresses when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participant is a customer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context of a unit of account, adds unit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account guidance in Topic 808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align with guidance in Topic 606,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precludes presenting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collaborative arrangement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transaction together with revenue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recognized under Topic 606 if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collaborative arrangement participant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is not a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104775</wp:posOffset>
            </wp:positionV>
            <wp:extent cx="3542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1652905</wp:posOffset>
            </wp:positionV>
            <wp:extent cx="17322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638" w:lineRule="exact"/>
        <w:rPr>
          <w:sz w:val="20"/>
          <w:szCs w:val="20"/>
          <w:color w:val="auto"/>
        </w:rPr>
      </w:pPr>
    </w:p>
    <w:p>
      <w:pPr>
        <w:sectPr>
          <w:pgSz w:w="11900" w:h="16838" w:orient="portrait"/>
          <w:cols w:equalWidth="0" w:num="3">
            <w:col w:w="2780" w:space="240"/>
            <w:col w:w="4960" w:space="720"/>
            <w:col w:w="2720"/>
          </w:cols>
          <w:pgMar w:left="240" w:top="684" w:right="239" w:bottom="1440" w:gutter="0" w:footer="0" w:header="0"/>
          <w:type w:val="continuous"/>
        </w:sectPr>
      </w:pPr>
    </w:p>
    <w:p>
      <w:pPr>
        <w:spacing w:after="0" w:line="8" w:lineRule="exact"/>
        <w:rPr>
          <w:sz w:val="20"/>
          <w:szCs w:val="20"/>
          <w:color w:val="auto"/>
        </w:rPr>
      </w:pPr>
    </w:p>
    <w:p>
      <w:pPr>
        <w:ind w:left="40"/>
        <w:spacing w:after="0" w:line="250" w:lineRule="auto"/>
        <w:rPr>
          <w:sz w:val="20"/>
          <w:szCs w:val="20"/>
          <w:color w:val="auto"/>
        </w:rPr>
      </w:pPr>
      <w:r>
        <w:rPr>
          <w:rFonts w:ascii="Arial" w:cs="Arial" w:eastAsia="Arial" w:hAnsi="Arial"/>
          <w:sz w:val="16"/>
          <w:szCs w:val="16"/>
          <w:color w:val="auto"/>
        </w:rPr>
        <w:t>In October 2018, the FASB issued ASU 2018-17</w:t>
      </w:r>
      <w:r>
        <w:rPr>
          <w:rFonts w:ascii="Arial" w:cs="Arial" w:eastAsia="Arial" w:hAnsi="Arial"/>
          <w:sz w:val="16"/>
          <w:szCs w:val="16"/>
          <w:i w:val="1"/>
          <w:iCs w:val="1"/>
          <w:color w:val="auto"/>
        </w:rPr>
        <w:t>, Consolidation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810): Targeted Improvements to Related Party Guidance for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18180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820" w:val="left"/>
        </w:tabs>
        <w:rPr>
          <w:sz w:val="20"/>
          <w:szCs w:val="20"/>
          <w:color w:val="auto"/>
        </w:rPr>
      </w:pPr>
      <w:r>
        <w:rPr>
          <w:rFonts w:ascii="Arial" w:cs="Arial" w:eastAsia="Arial" w:hAnsi="Arial"/>
          <w:sz w:val="16"/>
          <w:szCs w:val="16"/>
          <w:color w:val="auto"/>
        </w:rPr>
        <w:t>This ASU provides that indirect</w:t>
      </w:r>
      <w:r>
        <w:rPr>
          <w:sz w:val="20"/>
          <w:szCs w:val="20"/>
          <w:color w:val="auto"/>
        </w:rPr>
        <w:tab/>
      </w:r>
      <w:r>
        <w:rPr>
          <w:rFonts w:ascii="Arial" w:cs="Arial" w:eastAsia="Arial" w:hAnsi="Arial"/>
          <w:sz w:val="16"/>
          <w:szCs w:val="16"/>
          <w:color w:val="auto"/>
        </w:rPr>
        <w:t>November 1, 2020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interest held through related parties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common control arrangements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should be considered on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proportional basis for determining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whether fees paid to decision makers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service providers are variable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104775</wp:posOffset>
            </wp:positionV>
            <wp:extent cx="3542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692785</wp:posOffset>
            </wp:positionV>
            <wp:extent cx="17322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25" w:lineRule="exact"/>
        <w:rPr>
          <w:sz w:val="20"/>
          <w:szCs w:val="20"/>
          <w:color w:val="auto"/>
        </w:rPr>
      </w:pPr>
    </w:p>
    <w:p>
      <w:pPr>
        <w:sectPr>
          <w:pgSz w:w="11900" w:h="16838" w:orient="portrait"/>
          <w:cols w:equalWidth="0" w:num="3">
            <w:col w:w="2620" w:space="400"/>
            <w:col w:w="4960" w:space="720"/>
            <w:col w:w="2720"/>
          </w:cols>
          <w:pgMar w:left="240" w:top="684" w:right="239" w:bottom="1440" w:gutter="0" w:footer="0" w:header="0"/>
          <w:type w:val="continuous"/>
        </w:sectPr>
      </w:pPr>
    </w:p>
    <w:p>
      <w:pPr>
        <w:spacing w:after="0" w:line="8" w:lineRule="exact"/>
        <w:rPr>
          <w:sz w:val="20"/>
          <w:szCs w:val="20"/>
          <w:color w:val="auto"/>
        </w:rPr>
      </w:pPr>
    </w:p>
    <w:p>
      <w:pPr>
        <w:ind w:left="40"/>
        <w:spacing w:after="0" w:line="248" w:lineRule="auto"/>
        <w:rPr>
          <w:sz w:val="20"/>
          <w:szCs w:val="20"/>
          <w:color w:val="auto"/>
        </w:rPr>
      </w:pPr>
      <w:r>
        <w:rPr>
          <w:rFonts w:ascii="Arial" w:cs="Arial" w:eastAsia="Arial" w:hAnsi="Arial"/>
          <w:sz w:val="16"/>
          <w:szCs w:val="16"/>
          <w:color w:val="auto"/>
        </w:rPr>
        <w:t>In October 2018, the FASB issued ASU 2018-16</w:t>
      </w:r>
      <w:r>
        <w:rPr>
          <w:rFonts w:ascii="Arial" w:cs="Arial" w:eastAsia="Arial" w:hAnsi="Arial"/>
          <w:sz w:val="16"/>
          <w:szCs w:val="16"/>
          <w:i w:val="1"/>
          <w:iCs w:val="1"/>
          <w:color w:val="auto"/>
        </w:rPr>
        <w:t>,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Inclusion of the Secured Overnight Financing Rate (“SOFR”) Overnight Index Swap (“OIS”) Rate as a Benchmark Interest Rate for Hedge Accounting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1057275</wp:posOffset>
            </wp:positionV>
            <wp:extent cx="18180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6"/>
          <w:szCs w:val="16"/>
          <w:color w:val="auto"/>
        </w:rPr>
        <w:t>This ASU adds the OIS rate based on SOFR (a swap rate based on the underlying overnight SOFR rate) as an eligible benchmark interest rate for purposes of applying hedge accounting. SOFR is a volume-weighted median interest rate that is calculated daily based on overnight transactions from the prior day’s trading activity in specified segments of the U.S. Treasury repo market. SOFR was selected by the Alternative Reference Rates Committee as its preferred alternative reference rate to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99060</wp:posOffset>
            </wp:positionV>
            <wp:extent cx="17411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Arial" w:cs="Arial" w:eastAsia="Arial" w:hAnsi="Arial"/>
          <w:sz w:val="16"/>
          <w:szCs w:val="16"/>
          <w:color w:val="auto"/>
        </w:rPr>
        <w:t xml:space="preserve">Since we early adopted ASU 2017-12, </w:t>
      </w:r>
      <w:r>
        <w:rPr>
          <w:rFonts w:ascii="Arial" w:cs="Arial" w:eastAsia="Arial" w:hAnsi="Arial"/>
          <w:sz w:val="16"/>
          <w:szCs w:val="16"/>
          <w:i w:val="1"/>
          <w:iCs w:val="1"/>
          <w:color w:val="auto"/>
        </w:rPr>
        <w:t>Derivatives and Hedging (Topic</w:t>
      </w:r>
      <w:r>
        <w:rPr>
          <w:rFonts w:ascii="Arial" w:cs="Arial" w:eastAsia="Arial" w:hAnsi="Arial"/>
          <w:sz w:val="16"/>
          <w:szCs w:val="16"/>
          <w:color w:val="auto"/>
        </w:rPr>
        <w:t xml:space="preserve"> </w:t>
      </w:r>
      <w:r>
        <w:rPr>
          <w:rFonts w:ascii="Arial" w:cs="Arial" w:eastAsia="Arial" w:hAnsi="Arial"/>
          <w:sz w:val="16"/>
          <w:szCs w:val="16"/>
          <w:i w:val="1"/>
          <w:iCs w:val="1"/>
          <w:color w:val="auto"/>
        </w:rPr>
        <w:t>815): Targeted Improvements to Accounting for Hedging Activities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simplified hedge accounting, this update will be effective for us on November 1, 2020 on a prospective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936625</wp:posOffset>
            </wp:positionV>
            <wp:extent cx="17322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1532890</wp:posOffset>
            </wp:positionV>
            <wp:extent cx="17322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458" w:lineRule="exact"/>
        <w:rPr>
          <w:sz w:val="20"/>
          <w:szCs w:val="20"/>
          <w:color w:val="auto"/>
        </w:rPr>
      </w:pPr>
    </w:p>
    <w:p>
      <w:pPr>
        <w:sectPr>
          <w:pgSz w:w="11900" w:h="16838" w:orient="portrait"/>
          <w:cols w:equalWidth="0" w:num="4">
            <w:col w:w="2760" w:space="260"/>
            <w:col w:w="2640" w:space="200"/>
            <w:col w:w="2620" w:space="220"/>
            <w:col w:w="2720"/>
          </w:cols>
          <w:pgMar w:left="240" w:top="684" w:right="239" w:bottom="1440" w:gutter="0" w:footer="0" w:header="0"/>
          <w:type w:val="continuous"/>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684"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8180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7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Other—Internal-Use Software (Topic 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573405</wp:posOffset>
            </wp:positionV>
            <wp:extent cx="18180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31750</wp:posOffset>
            </wp:positionV>
            <wp:extent cx="17411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7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ASU aligns the requirements for capitalizing implementation costs incurred in a hosting arrangement that is a service contract with the requirements for capitalizing implementation costs incurred to develop or obtain 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96520</wp:posOffset>
            </wp:positionV>
            <wp:extent cx="17411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Effective Date/Method of Adoption</w:t>
            </w:r>
          </w:p>
        </w:tc>
        <w:tc>
          <w:tcPr>
            <w:tcW w:w="120" w:type="dxa"/>
            <w:vAlign w:val="bottom"/>
          </w:tcPr>
          <w:p>
            <w:pPr>
              <w:spacing w:after="0"/>
              <w:rPr>
                <w:sz w:val="19"/>
                <w:szCs w:val="19"/>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Effect on the Financial Statements</w:t>
            </w:r>
          </w:p>
        </w:tc>
      </w:tr>
      <w:tr>
        <w:trPr>
          <w:trHeight w:val="218"/>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November 1, 2020</w:t>
            </w:r>
          </w:p>
        </w:tc>
        <w:tc>
          <w:tcPr>
            <w:tcW w:w="2720" w:type="dxa"/>
            <w:vAlign w:val="bottom"/>
          </w:tcPr>
          <w:p>
            <w:pPr>
              <w:ind w:left="20"/>
              <w:spacing w:after="0"/>
              <w:rPr>
                <w:sz w:val="20"/>
                <w:szCs w:val="20"/>
                <w:color w:val="auto"/>
              </w:rPr>
            </w:pPr>
            <w:r>
              <w:rPr>
                <w:rFonts w:ascii="Arial" w:cs="Arial" w:eastAsia="Arial" w:hAnsi="Arial"/>
                <w:sz w:val="16"/>
                <w:szCs w:val="16"/>
                <w:color w:val="auto"/>
              </w:rPr>
              <w:t>We are currently evaluating the</w:t>
            </w:r>
          </w:p>
        </w:tc>
      </w:tr>
      <w:tr>
        <w:trPr>
          <w:trHeight w:val="189"/>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impact of implementing this guidance</w:t>
            </w:r>
          </w:p>
        </w:tc>
      </w:tr>
      <w:tr>
        <w:trPr>
          <w:trHeight w:val="195"/>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on our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698500</wp:posOffset>
            </wp:positionV>
            <wp:extent cx="35331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142" w:lineRule="exact"/>
        <w:rPr>
          <w:sz w:val="20"/>
          <w:szCs w:val="20"/>
          <w:color w:val="auto"/>
        </w:rPr>
      </w:pPr>
    </w:p>
    <w:p>
      <w:pPr>
        <w:sectPr>
          <w:pgSz w:w="11900" w:h="16838" w:orient="portrait"/>
          <w:cols w:equalWidth="0" w:num="3">
            <w:col w:w="2760" w:space="220"/>
            <w:col w:w="2660" w:space="180"/>
            <w:col w:w="5560"/>
          </w:cols>
          <w:pgMar w:left="280" w:top="716" w:right="239" w:bottom="1440" w:gutter="0" w:footer="0" w:header="0"/>
        </w:sectPr>
      </w:pPr>
    </w:p>
    <w:p>
      <w:pPr>
        <w:jc w:val="both"/>
        <w:spacing w:after="0" w:line="253"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Compensation—Retirement</w:t>
      </w:r>
      <w:r>
        <w:rPr>
          <w:rFonts w:ascii="Arial" w:cs="Arial" w:eastAsia="Arial" w:hAnsi="Arial"/>
          <w:sz w:val="16"/>
          <w:szCs w:val="16"/>
          <w:color w:val="auto"/>
        </w:rPr>
        <w:t xml:space="preserve"> </w:t>
      </w:r>
      <w:r>
        <w:rPr>
          <w:rFonts w:ascii="Arial" w:cs="Arial" w:eastAsia="Arial" w:hAnsi="Arial"/>
          <w:sz w:val="16"/>
          <w:szCs w:val="16"/>
          <w:i w:val="1"/>
          <w:iCs w:val="1"/>
          <w:color w:val="auto"/>
        </w:rPr>
        <w:t>Benefits—General (Topic 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92710</wp:posOffset>
            </wp:positionV>
            <wp:extent cx="18180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(Topic 820): Disclosure Framework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812800</wp:posOffset>
            </wp:positionV>
            <wp:extent cx="18180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This ASU modifies the disclosure</w:t>
            </w:r>
          </w:p>
        </w:tc>
        <w:tc>
          <w:tcPr>
            <w:tcW w:w="2720" w:type="dxa"/>
            <w:vAlign w:val="bottom"/>
          </w:tcPr>
          <w:p>
            <w:pPr>
              <w:ind w:left="20"/>
              <w:spacing w:after="0"/>
              <w:rPr>
                <w:sz w:val="20"/>
                <w:szCs w:val="20"/>
                <w:color w:val="auto"/>
              </w:rPr>
            </w:pPr>
            <w:r>
              <w:rPr>
                <w:rFonts w:ascii="Arial" w:cs="Arial" w:eastAsia="Arial" w:hAnsi="Arial"/>
                <w:sz w:val="16"/>
                <w:szCs w:val="16"/>
                <w:color w:val="auto"/>
              </w:rPr>
              <w:t>November 1, 2020</w:t>
            </w: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requirements on company-sponsored</w:t>
            </w:r>
          </w:p>
        </w:tc>
        <w:tc>
          <w:tcPr>
            <w:tcW w:w="2720" w:type="dxa"/>
            <w:vAlign w:val="bottom"/>
          </w:tcPr>
          <w:p>
            <w:pPr>
              <w:spacing w:after="0"/>
              <w:rPr>
                <w:sz w:val="16"/>
                <w:szCs w:val="16"/>
                <w:color w:val="auto"/>
              </w:rPr>
            </w:pPr>
          </w:p>
        </w:tc>
      </w:tr>
      <w:tr>
        <w:trPr>
          <w:trHeight w:val="195"/>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defined benefit plans.</w:t>
            </w:r>
          </w:p>
        </w:tc>
        <w:tc>
          <w:tcPr>
            <w:tcW w:w="2720" w:type="dxa"/>
            <w:vAlign w:val="bottom"/>
          </w:tcPr>
          <w:p>
            <w:pPr>
              <w:spacing w:after="0"/>
              <w:rPr>
                <w:sz w:val="16"/>
                <w:szCs w:val="16"/>
                <w:color w:val="auto"/>
              </w:rPr>
            </w:pPr>
          </w:p>
        </w:tc>
      </w:tr>
      <w:tr>
        <w:trPr>
          <w:trHeight w:val="155"/>
        </w:trPr>
        <w:tc>
          <w:tcPr>
            <w:tcW w:w="2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r>
      <w:tr>
        <w:trPr>
          <w:trHeight w:val="211"/>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This ASU modifies the disclosure</w:t>
            </w:r>
          </w:p>
        </w:tc>
        <w:tc>
          <w:tcPr>
            <w:tcW w:w="2720" w:type="dxa"/>
            <w:vAlign w:val="bottom"/>
          </w:tcPr>
          <w:p>
            <w:pPr>
              <w:ind w:left="20"/>
              <w:spacing w:after="0"/>
              <w:rPr>
                <w:sz w:val="20"/>
                <w:szCs w:val="20"/>
                <w:color w:val="auto"/>
              </w:rPr>
            </w:pPr>
            <w:r>
              <w:rPr>
                <w:rFonts w:ascii="Arial" w:cs="Arial" w:eastAsia="Arial" w:hAnsi="Arial"/>
                <w:sz w:val="16"/>
                <w:szCs w:val="16"/>
                <w:color w:val="auto"/>
              </w:rPr>
              <w:t>November 1, 2020</w:t>
            </w: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requirements on fair value</w:t>
            </w:r>
          </w:p>
        </w:tc>
        <w:tc>
          <w:tcPr>
            <w:tcW w:w="2720" w:type="dxa"/>
            <w:vAlign w:val="bottom"/>
          </w:tcPr>
          <w:p>
            <w:pPr>
              <w:spacing w:after="0"/>
              <w:rPr>
                <w:sz w:val="16"/>
                <w:szCs w:val="16"/>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measurements by removing certain</w:t>
            </w:r>
          </w:p>
        </w:tc>
        <w:tc>
          <w:tcPr>
            <w:tcW w:w="2720" w:type="dxa"/>
            <w:vAlign w:val="bottom"/>
          </w:tcPr>
          <w:p>
            <w:pPr>
              <w:spacing w:after="0"/>
              <w:rPr>
                <w:sz w:val="16"/>
                <w:szCs w:val="16"/>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disclosure requirements related to</w:t>
            </w:r>
          </w:p>
        </w:tc>
        <w:tc>
          <w:tcPr>
            <w:tcW w:w="2720" w:type="dxa"/>
            <w:vAlign w:val="bottom"/>
          </w:tcPr>
          <w:p>
            <w:pPr>
              <w:spacing w:after="0"/>
              <w:rPr>
                <w:sz w:val="16"/>
                <w:szCs w:val="16"/>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the fair value hierarchy, modifying</w:t>
            </w:r>
          </w:p>
        </w:tc>
        <w:tc>
          <w:tcPr>
            <w:tcW w:w="2720" w:type="dxa"/>
            <w:vAlign w:val="bottom"/>
          </w:tcPr>
          <w:p>
            <w:pPr>
              <w:spacing w:after="0"/>
              <w:rPr>
                <w:sz w:val="16"/>
                <w:szCs w:val="16"/>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existing disclosure requirements</w:t>
            </w:r>
          </w:p>
        </w:tc>
        <w:tc>
          <w:tcPr>
            <w:tcW w:w="2720" w:type="dxa"/>
            <w:vAlign w:val="bottom"/>
          </w:tcPr>
          <w:p>
            <w:pPr>
              <w:spacing w:after="0"/>
              <w:rPr>
                <w:sz w:val="16"/>
                <w:szCs w:val="16"/>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related to measurement uncertainty,</w:t>
            </w:r>
          </w:p>
        </w:tc>
        <w:tc>
          <w:tcPr>
            <w:tcW w:w="2720" w:type="dxa"/>
            <w:vAlign w:val="bottom"/>
          </w:tcPr>
          <w:p>
            <w:pPr>
              <w:spacing w:after="0"/>
              <w:rPr>
                <w:sz w:val="16"/>
                <w:szCs w:val="16"/>
                <w:color w:val="auto"/>
              </w:rPr>
            </w:pP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and adding new disclosure</w:t>
            </w:r>
          </w:p>
        </w:tc>
        <w:tc>
          <w:tcPr>
            <w:tcW w:w="2720" w:type="dxa"/>
            <w:vAlign w:val="bottom"/>
          </w:tcPr>
          <w:p>
            <w:pPr>
              <w:spacing w:after="0"/>
              <w:rPr>
                <w:sz w:val="16"/>
                <w:szCs w:val="16"/>
                <w:color w:val="auto"/>
              </w:rPr>
            </w:pPr>
          </w:p>
        </w:tc>
      </w:tr>
      <w:tr>
        <w:trPr>
          <w:trHeight w:val="195"/>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requirements.</w:t>
            </w:r>
          </w:p>
        </w:tc>
        <w:tc>
          <w:tcPr>
            <w:tcW w:w="2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98425</wp:posOffset>
            </wp:positionV>
            <wp:extent cx="3542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92710</wp:posOffset>
            </wp:positionV>
            <wp:extent cx="17322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812800</wp:posOffset>
            </wp:positionV>
            <wp:extent cx="17322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322" w:lineRule="exact"/>
        <w:rPr>
          <w:sz w:val="20"/>
          <w:szCs w:val="20"/>
          <w:color w:val="auto"/>
        </w:rPr>
      </w:pPr>
    </w:p>
    <w:p>
      <w:pPr>
        <w:sectPr>
          <w:pgSz w:w="11900" w:h="16838" w:orient="portrait"/>
          <w:cols w:equalWidth="0" w:num="3">
            <w:col w:w="2760" w:space="200"/>
            <w:col w:w="5580" w:space="140"/>
            <w:col w:w="2700"/>
          </w:cols>
          <w:pgMar w:left="280" w:top="716" w:right="239" w:bottom="1440" w:gutter="0" w:footer="0" w:header="0"/>
          <w:type w:val="continuous"/>
        </w:sectPr>
      </w:pPr>
    </w:p>
    <w:p>
      <w:pPr>
        <w:ind w:right="200"/>
        <w:spacing w:after="0" w:line="25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 Measurement of Credit Losses on Financial Statements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608330</wp:posOffset>
            </wp:positionV>
            <wp:extent cx="18180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 The FASB has issued several updates to ASU 2016-02, including ASU 2018-11, </w:t>
      </w:r>
      <w:r>
        <w:rPr>
          <w:rFonts w:ascii="Arial" w:cs="Arial" w:eastAsia="Arial" w:hAnsi="Arial"/>
          <w:sz w:val="16"/>
          <w:szCs w:val="16"/>
          <w:i w:val="1"/>
          <w:iCs w:val="1"/>
          <w:color w:val="auto"/>
        </w:rPr>
        <w:t>Leases (Topic 842): 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w:t>
      </w:r>
      <w:r>
        <w:rPr>
          <w:rFonts w:ascii="Arial" w:cs="Arial" w:eastAsia="Arial" w:hAnsi="Arial"/>
          <w:sz w:val="16"/>
          <w:szCs w:val="16"/>
          <w:color w:val="auto"/>
        </w:rPr>
        <w:t>, and ASU 2018-10,</w:t>
      </w:r>
      <w:r>
        <w:rPr>
          <w:rFonts w:ascii="Arial" w:cs="Arial" w:eastAsia="Arial" w:hAnsi="Arial"/>
          <w:sz w:val="16"/>
          <w:szCs w:val="16"/>
          <w:i w:val="1"/>
          <w:iCs w:val="1"/>
          <w:color w:val="auto"/>
        </w:rPr>
        <w:t xml:space="preserve"> Codification Improvements to Topic 842, Leases</w:t>
      </w:r>
      <w:r>
        <w:rPr>
          <w:rFonts w:ascii="Arial" w:cs="Arial" w:eastAsia="Arial" w:hAnsi="Arial"/>
          <w:sz w:val="16"/>
          <w:szCs w:val="16"/>
          <w:color w:val="auto"/>
        </w:rPr>
        <w:t>, that were issued in July</w:t>
      </w:r>
      <w:r>
        <w:rPr>
          <w:rFonts w:ascii="Arial" w:cs="Arial" w:eastAsia="Arial" w:hAnsi="Arial"/>
          <w:sz w:val="16"/>
          <w:szCs w:val="16"/>
          <w:i w:val="1"/>
          <w:iCs w:val="1"/>
          <w:color w:val="auto"/>
        </w:rPr>
        <w:t xml:space="preserve"> </w:t>
      </w:r>
      <w:r>
        <w:rPr>
          <w:rFonts w:ascii="Arial" w:cs="Arial" w:eastAsia="Arial" w:hAnsi="Arial"/>
          <w:sz w:val="16"/>
          <w:szCs w:val="16"/>
          <w:color w:val="auto"/>
        </w:rPr>
        <w:t>2018.</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6"/>
          <w:szCs w:val="16"/>
          <w:color w:val="auto"/>
        </w:rPr>
        <w:t>This ASU replaces the existing incurred loss impairment model with a methodology that incorporates all expected credit loss estimates, resulting in more timely recognition of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489585</wp:posOffset>
            </wp:positionV>
            <wp:extent cx="17411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ASU 2016-02 improves transparency and comparability among organizations by requiring lessees to recognize lease assets and lease liabilities on the balance sheet and to disclose key information about leasing arrangements. ASU 2018-11 and ASU 2018-10 amend various aspects of Topic 842, including an additional transition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609600</wp:posOffset>
            </wp:positionV>
            <wp:extent cx="72377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2020</w:t>
      </w:r>
    </w:p>
    <w:p>
      <w:pPr>
        <w:spacing w:after="0" w:line="19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standard will be applied using a modified retrospective adoption approach with a cumulative-effect adjustment to retained earnings as of the beginning of the year of adoption, except for certain provisions that are required to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131445</wp:posOffset>
            </wp:positionV>
            <wp:extent cx="17322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November 1, 2019</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guidance may be applied through a modified retrospective transition approach for leases existing at, or entered into after, the beginning of the earliest comparative period presented in the financial statements with certain practical expedients available. Alternatively, this guidance may also be applied at the adoption date by recognizing a cumulative-effect adjustment to the opening balance of retained earnings in the period of adoption.</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847090</wp:posOffset>
            </wp:positionV>
            <wp:extent cx="17322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are currently evaluating the impact of implementing this guidance on our financial statements. Refer to Note 2, “Basis of Presentation and Significant Accounting Policies,” in the Financial Statements for additional information.</w:t>
      </w:r>
    </w:p>
    <w:p>
      <w:pPr>
        <w:spacing w:after="0" w:line="1708" w:lineRule="exact"/>
        <w:rPr>
          <w:sz w:val="20"/>
          <w:szCs w:val="20"/>
          <w:color w:val="auto"/>
        </w:rPr>
      </w:pPr>
    </w:p>
    <w:p>
      <w:pPr>
        <w:sectPr>
          <w:pgSz w:w="11900" w:h="16838" w:orient="portrait"/>
          <w:cols w:equalWidth="0" w:num="4">
            <w:col w:w="2800" w:space="180"/>
            <w:col w:w="2700" w:space="160"/>
            <w:col w:w="2660" w:space="180"/>
            <w:col w:w="2700"/>
          </w:cols>
          <w:pgMar w:left="280" w:top="716" w:right="2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80"/>
          </w:cols>
          <w:pgMar w:left="280" w:top="716"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0046AD"/>
        </w:rPr>
        <w:t>ITEM 3. QUANTITATIVE AND QUALITATIVE DISCLOSURES ABOUT MARKET RISK.</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are no other material changes related to market risk from the disclosures in our Annual Report on Form 10-K for the year ended October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Changes in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continue to migrate many of our financial reporting and other processes to the ABM enterprise service center along with integrating GCA. These are enhancements of ongoing activities to support the growth of our financial shared service capabilities and standardize our financial systems. We also continue to update several key platforms, including our human resources information systems, enterprise resource planning system, and labor management system. Both the migration of GCA’s back-office functions to the ABM enterprise service center and the implementation of several key platforms involve changes in the systems that include internal controls. Although the transitions have proceeded to date without material adverse effects, the possibility exists that they could adversely affect our internal controls over financial reporting and procedures.</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were no other changes in our internal control over financial reporting during the first quarter of 2019 identified in connection with the evaluation required by Rules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LEGAL PROCEEDINGS.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9, “Commitments and Contingencies,” to the Financial Statements in this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1A. RISK FACTORS.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2018, in response to Item 1A., “Risk Factors,” of Part I of the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UNREGISTERED SALES OF EQUITY SECURITIES AND USE OF PROCEEDS.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During the three months ended January 31, 2019, there were no share repurchases. At January 31, 2019, authorization for $134.1 million of repurchases remained under our share repurchase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5.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22"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9"/>
        </w:trPr>
        <w:tc>
          <w:tcPr>
            <w:tcW w:w="11400" w:type="dxa"/>
            <w:vAlign w:val="bottom"/>
            <w:gridSpan w:val="10"/>
          </w:tcPr>
          <w:p>
            <w:pPr>
              <w:spacing w:after="0"/>
              <w:rPr>
                <w:sz w:val="20"/>
                <w:szCs w:val="20"/>
                <w:color w:val="auto"/>
              </w:rPr>
            </w:pPr>
            <w:r>
              <w:rPr>
                <w:rFonts w:ascii="Arial" w:cs="Arial" w:eastAsia="Arial" w:hAnsi="Arial"/>
                <w:sz w:val="18"/>
                <w:szCs w:val="18"/>
                <w:b w:val="1"/>
                <w:bCs w:val="1"/>
                <w:color w:val="0046AD"/>
              </w:rPr>
              <w:t>ITEM 6. EXHIBITS.</w:t>
            </w:r>
          </w:p>
        </w:tc>
      </w:tr>
      <w:tr>
        <w:trPr>
          <w:trHeight w:val="378"/>
        </w:trPr>
        <w:tc>
          <w:tcPr>
            <w:tcW w:w="11400" w:type="dxa"/>
            <w:vAlign w:val="bottom"/>
            <w:gridSpan w:val="10"/>
          </w:tcPr>
          <w:p>
            <w:pPr>
              <w:ind w:left="660"/>
              <w:spacing w:after="0"/>
              <w:rPr>
                <w:sz w:val="20"/>
                <w:szCs w:val="20"/>
                <w:color w:val="auto"/>
              </w:rPr>
            </w:pPr>
            <w:r>
              <w:rPr>
                <w:rFonts w:ascii="Arial" w:cs="Arial" w:eastAsia="Arial" w:hAnsi="Arial"/>
                <w:sz w:val="18"/>
                <w:szCs w:val="18"/>
                <w:color w:val="auto"/>
              </w:rPr>
              <w:t>(a) Exhibits</w:t>
            </w:r>
          </w:p>
        </w:tc>
      </w:tr>
      <w:tr>
        <w:trPr>
          <w:trHeight w:val="378"/>
        </w:trPr>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160" w:type="dxa"/>
            <w:vAlign w:val="bottom"/>
            <w:gridSpan w:val="6"/>
          </w:tcPr>
          <w:p>
            <w:pPr>
              <w:ind w:left="340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380" w:type="dxa"/>
            <w:vAlign w:val="bottom"/>
            <w:tcBorders>
              <w:bottom w:val="single" w:sz="8" w:color="DCE2EF"/>
            </w:tcBorders>
            <w:shd w:val="clear" w:color="auto" w:fill="DCE2EF"/>
          </w:tcPr>
          <w:p>
            <w:pPr>
              <w:ind w:left="40"/>
              <w:spacing w:after="0" w:line="19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DCE2EF"/>
            </w:tcBorders>
            <w:shd w:val="clear" w:color="auto" w:fill="DCE2EF"/>
          </w:tcPr>
          <w:p>
            <w:pPr>
              <w:spacing w:after="0"/>
              <w:rPr>
                <w:sz w:val="17"/>
                <w:szCs w:val="17"/>
                <w:color w:val="auto"/>
              </w:rPr>
            </w:pPr>
          </w:p>
        </w:tc>
        <w:tc>
          <w:tcPr>
            <w:tcW w:w="20" w:type="dxa"/>
            <w:vAlign w:val="bottom"/>
            <w:tcBorders>
              <w:bottom w:val="single" w:sz="8" w:color="DCE2EF"/>
            </w:tcBorders>
            <w:shd w:val="clear" w:color="auto" w:fill="DCE2EF"/>
          </w:tcPr>
          <w:p>
            <w:pPr>
              <w:spacing w:after="0"/>
              <w:rPr>
                <w:sz w:val="17"/>
                <w:szCs w:val="17"/>
                <w:color w:val="auto"/>
              </w:rPr>
            </w:pPr>
          </w:p>
        </w:tc>
        <w:tc>
          <w:tcPr>
            <w:tcW w:w="9860" w:type="dxa"/>
            <w:vAlign w:val="bottom"/>
            <w:tcBorders>
              <w:bottom w:val="single" w:sz="8" w:color="0000FF"/>
            </w:tcBorders>
            <w:gridSpan w:val="6"/>
            <w:shd w:val="clear" w:color="auto" w:fill="DCE2EF"/>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Amended and Restated Bylaws of ABM Industries Incorporated, dated December 4, 2018 (incorporated by reference to</w:t>
              </w:r>
            </w:hyperlink>
          </w:p>
        </w:tc>
        <w:tc>
          <w:tcPr>
            <w:tcW w:w="20" w:type="dxa"/>
            <w:vAlign w:val="bottom"/>
            <w:tcBorders>
              <w:bottom w:val="single" w:sz="8" w:color="DCE2EF"/>
            </w:tcBorders>
            <w:shd w:val="clear" w:color="auto" w:fill="DCE2EF"/>
          </w:tcPr>
          <w:p>
            <w:pPr>
              <w:spacing w:after="0"/>
              <w:rPr>
                <w:sz w:val="17"/>
                <w:szCs w:val="17"/>
                <w:color w:val="auto"/>
              </w:rPr>
            </w:pPr>
          </w:p>
        </w:tc>
      </w:tr>
      <w:tr>
        <w:trPr>
          <w:trHeight w:val="217"/>
        </w:trPr>
        <w:tc>
          <w:tcPr>
            <w:tcW w:w="138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20" w:type="dxa"/>
            <w:vAlign w:val="bottom"/>
            <w:tcBorders>
              <w:bottom w:val="single" w:sz="8" w:color="DCE2EF"/>
            </w:tcBorders>
            <w:shd w:val="clear" w:color="auto" w:fill="DCE2EF"/>
          </w:tcPr>
          <w:p>
            <w:pPr>
              <w:spacing w:after="0"/>
              <w:rPr>
                <w:sz w:val="18"/>
                <w:szCs w:val="18"/>
                <w:color w:val="auto"/>
              </w:rPr>
            </w:pPr>
          </w:p>
        </w:tc>
        <w:tc>
          <w:tcPr>
            <w:tcW w:w="6960" w:type="dxa"/>
            <w:vAlign w:val="bottom"/>
            <w:tcBorders>
              <w:bottom w:val="single" w:sz="8" w:color="0000FF"/>
            </w:tcBorders>
            <w:gridSpan w:val="2"/>
            <w:shd w:val="clear" w:color="auto" w:fill="DCE2EF"/>
          </w:tcPr>
          <w:p>
            <w:pPr>
              <w:spacing w:after="0" w:line="182"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Exhibit 3.1 to the Company’s Current Report on Form 8-K, filed on December 10, 2018)</w:t>
              </w:r>
            </w:hyperlink>
          </w:p>
        </w:tc>
        <w:tc>
          <w:tcPr>
            <w:tcW w:w="2920" w:type="dxa"/>
            <w:vAlign w:val="bottom"/>
            <w:tcBorders>
              <w:bottom w:val="single" w:sz="8" w:color="DCE2EF"/>
            </w:tcBorders>
            <w:gridSpan w:val="5"/>
            <w:shd w:val="clear" w:color="auto" w:fill="DCE2EF"/>
          </w:tcPr>
          <w:p>
            <w:pPr>
              <w:spacing w:after="0"/>
              <w:rPr>
                <w:sz w:val="18"/>
                <w:szCs w:val="18"/>
                <w:color w:val="auto"/>
              </w:rPr>
            </w:pPr>
          </w:p>
        </w:tc>
      </w:tr>
      <w:tr>
        <w:trPr>
          <w:trHeight w:val="203"/>
        </w:trPr>
        <w:tc>
          <w:tcPr>
            <w:tcW w:w="15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7"/>
                <w:szCs w:val="17"/>
                <w:color w:val="auto"/>
              </w:rPr>
            </w:pPr>
          </w:p>
        </w:tc>
        <w:tc>
          <w:tcPr>
            <w:tcW w:w="9880" w:type="dxa"/>
            <w:vAlign w:val="bottom"/>
            <w:tcBorders>
              <w:bottom w:val="single" w:sz="8" w:color="0000FF"/>
            </w:tcBorders>
            <w:gridSpan w:val="7"/>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Executive Employment Agreement, dated as of March 1, 2018, by and between ABM Industries Incorporated and Andrea</w:t>
              </w:r>
            </w:hyperlink>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7"/>
          </w:tcPr>
          <w:p>
            <w:pPr>
              <w:spacing w:after="0" w:line="182" w:lineRule="exact"/>
              <w:rPr>
                <w:rFonts w:ascii="Arial" w:cs="Arial" w:eastAsia="Arial" w:hAnsi="Arial"/>
                <w:sz w:val="18"/>
                <w:szCs w:val="18"/>
                <w:color w:val="0000FF"/>
              </w:rPr>
            </w:pPr>
            <w:hyperlink w:anchor="page48">
              <w:r>
                <w:rPr>
                  <w:rFonts w:ascii="Arial" w:cs="Arial" w:eastAsia="Arial" w:hAnsi="Arial"/>
                  <w:sz w:val="18"/>
                  <w:szCs w:val="18"/>
                  <w:color w:val="0000FF"/>
                </w:rPr>
                <w:t>Newborn</w:t>
              </w:r>
            </w:hyperlink>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500" w:type="dxa"/>
            <w:vAlign w:val="bottom"/>
            <w:tcBorders>
              <w:bottom w:val="single" w:sz="8" w:color="DCE2EF"/>
            </w:tcBorders>
            <w:gridSpan w:val="2"/>
            <w:shd w:val="clear" w:color="auto" w:fill="DCE2EF"/>
          </w:tcPr>
          <w:p>
            <w:pPr>
              <w:ind w:left="40"/>
              <w:spacing w:after="0" w:line="202" w:lineRule="exact"/>
              <w:rPr>
                <w:sz w:val="20"/>
                <w:szCs w:val="20"/>
                <w:color w:val="auto"/>
              </w:rPr>
            </w:pPr>
            <w:r>
              <w:rPr>
                <w:rFonts w:ascii="Arial" w:cs="Arial" w:eastAsia="Arial" w:hAnsi="Arial"/>
                <w:sz w:val="18"/>
                <w:szCs w:val="18"/>
                <w:color w:val="auto"/>
              </w:rPr>
              <w:t>10.2*†</w:t>
            </w:r>
          </w:p>
        </w:tc>
        <w:tc>
          <w:tcPr>
            <w:tcW w:w="20" w:type="dxa"/>
            <w:vAlign w:val="bottom"/>
            <w:tcBorders>
              <w:bottom w:val="single" w:sz="8" w:color="DCE2EF"/>
            </w:tcBorders>
            <w:shd w:val="clear" w:color="auto" w:fill="DCE2EF"/>
          </w:tcPr>
          <w:p>
            <w:pPr>
              <w:spacing w:after="0"/>
              <w:rPr>
                <w:sz w:val="17"/>
                <w:szCs w:val="17"/>
                <w:color w:val="auto"/>
              </w:rPr>
            </w:pPr>
          </w:p>
        </w:tc>
        <w:tc>
          <w:tcPr>
            <w:tcW w:w="9860" w:type="dxa"/>
            <w:vAlign w:val="bottom"/>
            <w:tcBorders>
              <w:bottom w:val="single" w:sz="8" w:color="0000FF"/>
            </w:tcBorders>
            <w:gridSpan w:val="6"/>
            <w:shd w:val="clear" w:color="auto" w:fill="DCE2EF"/>
          </w:tcPr>
          <w:p>
            <w:pPr>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Change in Control Agreement, dated as of March 1, 2018, by and between ABM Industries Incorporated and Andrea</w:t>
              </w:r>
            </w:hyperlink>
          </w:p>
        </w:tc>
        <w:tc>
          <w:tcPr>
            <w:tcW w:w="20" w:type="dxa"/>
            <w:vAlign w:val="bottom"/>
            <w:tcBorders>
              <w:bottom w:val="single" w:sz="8" w:color="DCE2EF"/>
            </w:tcBorders>
            <w:shd w:val="clear" w:color="auto" w:fill="DCE2EF"/>
          </w:tcPr>
          <w:p>
            <w:pPr>
              <w:spacing w:after="0"/>
              <w:rPr>
                <w:sz w:val="17"/>
                <w:szCs w:val="17"/>
                <w:color w:val="auto"/>
              </w:rPr>
            </w:pPr>
          </w:p>
        </w:tc>
      </w:tr>
      <w:tr>
        <w:trPr>
          <w:trHeight w:val="183"/>
        </w:trPr>
        <w:tc>
          <w:tcPr>
            <w:tcW w:w="13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9880" w:type="dxa"/>
            <w:vAlign w:val="bottom"/>
            <w:gridSpan w:val="7"/>
            <w:shd w:val="clear" w:color="auto" w:fill="DCE2EF"/>
          </w:tcPr>
          <w:p>
            <w:pPr>
              <w:spacing w:after="0" w:line="182" w:lineRule="exact"/>
              <w:rPr>
                <w:rFonts w:ascii="Arial" w:cs="Arial" w:eastAsia="Arial" w:hAnsi="Arial"/>
                <w:sz w:val="18"/>
                <w:szCs w:val="18"/>
                <w:color w:val="0000FF"/>
              </w:rPr>
            </w:pPr>
            <w:hyperlink w:anchor="page66">
              <w:r>
                <w:rPr>
                  <w:rFonts w:ascii="Arial" w:cs="Arial" w:eastAsia="Arial" w:hAnsi="Arial"/>
                  <w:sz w:val="18"/>
                  <w:szCs w:val="18"/>
                  <w:color w:val="0000FF"/>
                </w:rPr>
                <w:t>Newborn</w:t>
              </w:r>
            </w:hyperlink>
          </w:p>
        </w:tc>
      </w:tr>
      <w:tr>
        <w:trPr>
          <w:trHeight w:val="34"/>
        </w:trPr>
        <w:tc>
          <w:tcPr>
            <w:tcW w:w="1380" w:type="dxa"/>
            <w:vAlign w:val="bottom"/>
            <w:tcBorders>
              <w:top w:val="single" w:sz="8" w:color="DCE2EF"/>
            </w:tcBorders>
            <w:shd w:val="clear" w:color="auto" w:fill="DCE2EF"/>
          </w:tcPr>
          <w:p>
            <w:pPr>
              <w:spacing w:after="0"/>
              <w:rPr>
                <w:sz w:val="2"/>
                <w:szCs w:val="2"/>
                <w:color w:val="auto"/>
              </w:rPr>
            </w:pPr>
          </w:p>
        </w:tc>
        <w:tc>
          <w:tcPr>
            <w:tcW w:w="12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c>
          <w:tcPr>
            <w:tcW w:w="720" w:type="dxa"/>
            <w:vAlign w:val="bottom"/>
            <w:tcBorders>
              <w:top w:val="single" w:sz="8" w:color="0000FF"/>
            </w:tcBorders>
            <w:shd w:val="clear" w:color="auto" w:fill="DCE2EF"/>
          </w:tcPr>
          <w:p>
            <w:pPr>
              <w:spacing w:after="0"/>
              <w:rPr>
                <w:sz w:val="2"/>
                <w:szCs w:val="2"/>
                <w:color w:val="auto"/>
              </w:rPr>
            </w:pPr>
          </w:p>
        </w:tc>
        <w:tc>
          <w:tcPr>
            <w:tcW w:w="6240" w:type="dxa"/>
            <w:vAlign w:val="bottom"/>
            <w:tcBorders>
              <w:top w:val="single" w:sz="8" w:color="DCE2EF"/>
            </w:tcBorders>
            <w:shd w:val="clear" w:color="auto" w:fill="DCE2EF"/>
          </w:tcPr>
          <w:p>
            <w:pPr>
              <w:spacing w:after="0"/>
              <w:rPr>
                <w:sz w:val="2"/>
                <w:szCs w:val="2"/>
                <w:color w:val="auto"/>
              </w:rPr>
            </w:pPr>
          </w:p>
        </w:tc>
        <w:tc>
          <w:tcPr>
            <w:tcW w:w="1040" w:type="dxa"/>
            <w:vAlign w:val="bottom"/>
            <w:tcBorders>
              <w:top w:val="single" w:sz="8" w:color="DCE2EF"/>
            </w:tcBorders>
            <w:shd w:val="clear" w:color="auto" w:fill="DCE2EF"/>
          </w:tcPr>
          <w:p>
            <w:pPr>
              <w:spacing w:after="0"/>
              <w:rPr>
                <w:sz w:val="2"/>
                <w:szCs w:val="2"/>
                <w:color w:val="auto"/>
              </w:rPr>
            </w:pPr>
          </w:p>
        </w:tc>
        <w:tc>
          <w:tcPr>
            <w:tcW w:w="60" w:type="dxa"/>
            <w:vAlign w:val="bottom"/>
            <w:tcBorders>
              <w:top w:val="single" w:sz="8" w:color="DCE2EF"/>
            </w:tcBorders>
            <w:shd w:val="clear" w:color="auto" w:fill="DCE2EF"/>
          </w:tcPr>
          <w:p>
            <w:pPr>
              <w:spacing w:after="0"/>
              <w:rPr>
                <w:sz w:val="2"/>
                <w:szCs w:val="2"/>
                <w:color w:val="auto"/>
              </w:rPr>
            </w:pPr>
          </w:p>
        </w:tc>
        <w:tc>
          <w:tcPr>
            <w:tcW w:w="1520" w:type="dxa"/>
            <w:vAlign w:val="bottom"/>
            <w:tcBorders>
              <w:top w:val="single" w:sz="8" w:color="DCE2EF"/>
            </w:tcBorders>
            <w:shd w:val="clear" w:color="auto" w:fill="DCE2EF"/>
          </w:tcPr>
          <w:p>
            <w:pPr>
              <w:spacing w:after="0"/>
              <w:rPr>
                <w:sz w:val="2"/>
                <w:szCs w:val="2"/>
                <w:color w:val="auto"/>
              </w:rPr>
            </w:pPr>
          </w:p>
        </w:tc>
        <w:tc>
          <w:tcPr>
            <w:tcW w:w="280" w:type="dxa"/>
            <w:vAlign w:val="bottom"/>
            <w:tcBorders>
              <w:top w:val="single" w:sz="8" w:color="DCE2EF"/>
            </w:tcBorders>
            <w:shd w:val="clear" w:color="auto" w:fill="DCE2EF"/>
          </w:tcPr>
          <w:p>
            <w:pPr>
              <w:spacing w:after="0"/>
              <w:rPr>
                <w:sz w:val="2"/>
                <w:szCs w:val="2"/>
                <w:color w:val="auto"/>
              </w:rPr>
            </w:pPr>
          </w:p>
        </w:tc>
        <w:tc>
          <w:tcPr>
            <w:tcW w:w="20" w:type="dxa"/>
            <w:vAlign w:val="bottom"/>
            <w:tcBorders>
              <w:top w:val="single" w:sz="8" w:color="DCE2EF"/>
            </w:tcBorders>
            <w:shd w:val="clear" w:color="auto" w:fill="DCE2EF"/>
          </w:tcPr>
          <w:p>
            <w:pPr>
              <w:spacing w:after="0"/>
              <w:rPr>
                <w:sz w:val="2"/>
                <w:szCs w:val="2"/>
                <w:color w:val="auto"/>
              </w:rPr>
            </w:pPr>
          </w:p>
        </w:tc>
      </w:tr>
      <w:tr>
        <w:trPr>
          <w:trHeight w:val="203"/>
        </w:trPr>
        <w:tc>
          <w:tcPr>
            <w:tcW w:w="15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7"/>
                <w:szCs w:val="17"/>
                <w:color w:val="auto"/>
              </w:rPr>
            </w:pPr>
          </w:p>
        </w:tc>
        <w:tc>
          <w:tcPr>
            <w:tcW w:w="9880" w:type="dxa"/>
            <w:vAlign w:val="bottom"/>
            <w:gridSpan w:val="7"/>
          </w:tcPr>
          <w:p>
            <w:pPr>
              <w:spacing w:after="0" w:line="202" w:lineRule="exact"/>
              <w:rPr>
                <w:rFonts w:ascii="Arial" w:cs="Arial" w:eastAsia="Arial" w:hAnsi="Arial"/>
                <w:sz w:val="18"/>
                <w:szCs w:val="18"/>
                <w:color w:val="0000FF"/>
              </w:rPr>
            </w:pPr>
            <w:hyperlink w:anchor="page82">
              <w:r>
                <w:rPr>
                  <w:rFonts w:ascii="Arial" w:cs="Arial" w:eastAsia="Arial" w:hAnsi="Arial"/>
                  <w:sz w:val="18"/>
                  <w:szCs w:val="18"/>
                  <w:color w:val="0000FF"/>
                </w:rPr>
                <w:t>Certification of Principal Executive Officer pursuant to Section 302 of the Sarbanes-Oxley Act of 2002</w:t>
              </w:r>
            </w:hyperlink>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2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line="202" w:lineRule="exact"/>
              <w:rPr>
                <w:sz w:val="20"/>
                <w:szCs w:val="20"/>
                <w:color w:val="auto"/>
              </w:rPr>
            </w:pPr>
            <w:r>
              <w:rPr>
                <w:rFonts w:ascii="Arial" w:cs="Arial" w:eastAsia="Arial" w:hAnsi="Arial"/>
                <w:sz w:val="18"/>
                <w:szCs w:val="18"/>
                <w:color w:val="auto"/>
              </w:rPr>
              <w:t>31.2†</w:t>
            </w:r>
          </w:p>
        </w:tc>
        <w:tc>
          <w:tcPr>
            <w:tcW w:w="20" w:type="dxa"/>
            <w:vAlign w:val="bottom"/>
            <w:tcBorders>
              <w:bottom w:val="single" w:sz="8" w:color="DCE2EF"/>
            </w:tcBorders>
            <w:shd w:val="clear" w:color="auto" w:fill="DCE2EF"/>
          </w:tcPr>
          <w:p>
            <w:pPr>
              <w:spacing w:after="0"/>
              <w:rPr>
                <w:sz w:val="21"/>
                <w:szCs w:val="21"/>
                <w:color w:val="auto"/>
              </w:rPr>
            </w:pPr>
          </w:p>
        </w:tc>
        <w:tc>
          <w:tcPr>
            <w:tcW w:w="8000" w:type="dxa"/>
            <w:vAlign w:val="bottom"/>
            <w:tcBorders>
              <w:bottom w:val="single" w:sz="8" w:color="0000FF"/>
            </w:tcBorders>
            <w:gridSpan w:val="3"/>
            <w:shd w:val="clear" w:color="auto" w:fill="DCE2EF"/>
          </w:tcPr>
          <w:p>
            <w:pPr>
              <w:spacing w:after="0" w:line="202" w:lineRule="exact"/>
              <w:rPr>
                <w:rFonts w:ascii="Arial" w:cs="Arial" w:eastAsia="Arial" w:hAnsi="Arial"/>
                <w:sz w:val="18"/>
                <w:szCs w:val="18"/>
                <w:color w:val="0000FF"/>
                <w:w w:val="99"/>
              </w:rPr>
            </w:pPr>
            <w:hyperlink w:anchor="page83">
              <w:r>
                <w:rPr>
                  <w:rFonts w:ascii="Arial" w:cs="Arial" w:eastAsia="Arial" w:hAnsi="Arial"/>
                  <w:sz w:val="18"/>
                  <w:szCs w:val="18"/>
                  <w:color w:val="0000FF"/>
                  <w:w w:val="99"/>
                </w:rPr>
                <w:t>Certification of Principal Financial Officer pursuant to Section 302 of the Sarbanes-Oxley Act of 2002</w:t>
              </w:r>
            </w:hyperlink>
          </w:p>
        </w:tc>
        <w:tc>
          <w:tcPr>
            <w:tcW w:w="1880" w:type="dxa"/>
            <w:vAlign w:val="bottom"/>
            <w:tcBorders>
              <w:bottom w:val="single" w:sz="8" w:color="DCE2EF"/>
            </w:tcBorders>
            <w:gridSpan w:val="4"/>
            <w:shd w:val="clear" w:color="auto" w:fill="DCE2EF"/>
          </w:tcPr>
          <w:p>
            <w:pPr>
              <w:spacing w:after="0"/>
              <w:rPr>
                <w:sz w:val="21"/>
                <w:szCs w:val="21"/>
                <w:color w:val="auto"/>
              </w:rPr>
            </w:pPr>
          </w:p>
        </w:tc>
      </w:tr>
      <w:tr>
        <w:trPr>
          <w:trHeight w:val="203"/>
        </w:trPr>
        <w:tc>
          <w:tcPr>
            <w:tcW w:w="15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9880" w:type="dxa"/>
            <w:vAlign w:val="bottom"/>
            <w:gridSpan w:val="7"/>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Certification pursuant to 18 U.S.C. Section 1350, as adopted pursuant to Section 906 of the Sarbanes-Oxley Act of 2002</w:t>
              </w:r>
            </w:hyperlink>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2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Borders>
              <w:bottom w:val="single" w:sz="8" w:color="DCE2EF"/>
            </w:tcBorders>
            <w:shd w:val="clear" w:color="auto" w:fill="DCE2EF"/>
          </w:tcPr>
          <w:p>
            <w:pPr>
              <w:spacing w:after="0"/>
              <w:rPr>
                <w:sz w:val="21"/>
                <w:szCs w:val="21"/>
                <w:color w:val="auto"/>
              </w:rPr>
            </w:pPr>
          </w:p>
        </w:tc>
        <w:tc>
          <w:tcPr>
            <w:tcW w:w="9880" w:type="dxa"/>
            <w:vAlign w:val="bottom"/>
            <w:tcBorders>
              <w:bottom w:val="single" w:sz="8" w:color="DCE2EF"/>
            </w:tcBorders>
            <w:gridSpan w:val="7"/>
            <w:shd w:val="clear" w:color="auto" w:fill="DCE2EF"/>
          </w:tcPr>
          <w:p>
            <w:pPr>
              <w:spacing w:after="0"/>
              <w:rPr>
                <w:sz w:val="20"/>
                <w:szCs w:val="20"/>
                <w:color w:val="auto"/>
              </w:rPr>
            </w:pPr>
            <w:r>
              <w:rPr>
                <w:rFonts w:ascii="Arial" w:cs="Arial" w:eastAsia="Arial" w:hAnsi="Arial"/>
                <w:sz w:val="18"/>
                <w:szCs w:val="18"/>
                <w:color w:val="auto"/>
              </w:rPr>
              <w:t>XBRL Report Instance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Borders>
              <w:bottom w:val="single" w:sz="8" w:color="DCE2EF"/>
            </w:tcBorders>
            <w:shd w:val="clear" w:color="auto" w:fill="DCE2EF"/>
          </w:tcPr>
          <w:p>
            <w:pPr>
              <w:spacing w:after="0"/>
              <w:rPr>
                <w:sz w:val="21"/>
                <w:szCs w:val="21"/>
                <w:color w:val="auto"/>
              </w:rPr>
            </w:pPr>
          </w:p>
        </w:tc>
        <w:tc>
          <w:tcPr>
            <w:tcW w:w="9880" w:type="dxa"/>
            <w:vAlign w:val="bottom"/>
            <w:tcBorders>
              <w:bottom w:val="single" w:sz="8" w:color="DCE2EF"/>
            </w:tcBorders>
            <w:gridSpan w:val="7"/>
            <w:shd w:val="clear" w:color="auto" w:fill="DCE2EF"/>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1"/>
                <w:szCs w:val="21"/>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Borders>
              <w:bottom w:val="single" w:sz="8" w:color="DCE2EF"/>
            </w:tcBorders>
            <w:shd w:val="clear" w:color="auto" w:fill="DCE2EF"/>
          </w:tcPr>
          <w:p>
            <w:pPr>
              <w:spacing w:after="0"/>
              <w:rPr>
                <w:sz w:val="21"/>
                <w:szCs w:val="21"/>
                <w:color w:val="auto"/>
              </w:rPr>
            </w:pPr>
          </w:p>
        </w:tc>
        <w:tc>
          <w:tcPr>
            <w:tcW w:w="9880" w:type="dxa"/>
            <w:vAlign w:val="bottom"/>
            <w:tcBorders>
              <w:bottom w:val="single" w:sz="8" w:color="DCE2EF"/>
            </w:tcBorders>
            <w:gridSpan w:val="7"/>
            <w:shd w:val="clear" w:color="auto" w:fill="DCE2EF"/>
          </w:tcPr>
          <w:p>
            <w:pPr>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1"/>
                <w:szCs w:val="21"/>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188" w:lineRule="exact"/>
        <w:rPr>
          <w:sz w:val="20"/>
          <w:szCs w:val="20"/>
          <w:color w:val="auto"/>
        </w:rPr>
      </w:pPr>
    </w:p>
    <w:p>
      <w:pPr>
        <w:ind w:left="740" w:hanging="69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171"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filed herewith</w:t>
      </w:r>
    </w:p>
    <w:p>
      <w:pPr>
        <w:spacing w:after="0" w:line="171"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22"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00"/>
        <w:spacing w:after="0"/>
        <w:tabs>
          <w:tab w:leader="none" w:pos="6520" w:val="left"/>
        </w:tabs>
        <w:rPr>
          <w:sz w:val="20"/>
          <w:szCs w:val="20"/>
          <w:color w:val="auto"/>
        </w:rPr>
      </w:pPr>
      <w:r>
        <w:rPr>
          <w:rFonts w:ascii="Arial" w:cs="Arial" w:eastAsia="Arial" w:hAnsi="Arial"/>
          <w:sz w:val="18"/>
          <w:szCs w:val="18"/>
          <w:u w:val="single" w:color="auto"/>
          <w:color w:val="auto"/>
        </w:rPr>
        <w:t>March 7, 2019</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00"/>
        <w:spacing w:after="0"/>
        <w:tabs>
          <w:tab w:leader="none" w:pos="6520" w:val="left"/>
        </w:tabs>
        <w:rPr>
          <w:sz w:val="20"/>
          <w:szCs w:val="20"/>
          <w:color w:val="auto"/>
        </w:rPr>
      </w:pPr>
      <w:r>
        <w:rPr>
          <w:rFonts w:ascii="Arial" w:cs="Arial" w:eastAsia="Arial" w:hAnsi="Arial"/>
          <w:sz w:val="18"/>
          <w:szCs w:val="18"/>
          <w:u w:val="single" w:color="auto"/>
          <w:color w:val="auto"/>
        </w:rPr>
        <w:t>March 7, 2019</w:t>
      </w:r>
      <w:r>
        <w:rPr>
          <w:sz w:val="20"/>
          <w:szCs w:val="20"/>
          <w:color w:val="auto"/>
        </w:rPr>
        <w:tab/>
      </w:r>
      <w:r>
        <w:rPr>
          <w:rFonts w:ascii="Arial" w:cs="Arial" w:eastAsia="Arial" w:hAnsi="Arial"/>
          <w:sz w:val="18"/>
          <w:szCs w:val="18"/>
          <w:u w:val="single" w:color="auto"/>
          <w:color w:val="auto"/>
        </w:rPr>
        <w:t>/s/ Dean A. Chin</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Chief Accounting Officer,</w:t>
      </w:r>
    </w:p>
    <w:p>
      <w:pPr>
        <w:ind w:left="6540"/>
        <w:spacing w:after="0" w:line="235" w:lineRule="auto"/>
        <w:rPr>
          <w:sz w:val="20"/>
          <w:szCs w:val="20"/>
          <w:color w:val="auto"/>
        </w:rPr>
      </w:pPr>
      <w:r>
        <w:rPr>
          <w:rFonts w:ascii="Arial" w:cs="Arial" w:eastAsia="Arial" w:hAnsi="Arial"/>
          <w:sz w:val="18"/>
          <w:szCs w:val="18"/>
          <w:color w:val="auto"/>
        </w:rPr>
        <w:t>and Corporate Controller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22" w:right="25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6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THIS EXECUTIVE EMPLOYMENT AGREEMENT </w:t>
      </w:r>
      <w:r>
        <w:rPr>
          <w:rFonts w:ascii="Arial" w:cs="Arial" w:eastAsia="Arial" w:hAnsi="Arial"/>
          <w:sz w:val="21"/>
          <w:szCs w:val="21"/>
          <w:color w:val="auto"/>
        </w:rPr>
        <w:t>(“Agreement”) is effective March 1, 2018 (“Effective Date”)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Andrea Newborn (“Executive”) and ABM Industries Incorporated, a Delaware corporation (“Company” or “ABM”). As of the Effective Date, this Agreement supersedes in its entirety the Executive Employment Agreement dated July 5, 2017.</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consideration of the terms and commitments contained in this Agreement, the parties agree to and acknowledge the following:</w:t>
      </w:r>
    </w:p>
    <w:p>
      <w:pPr>
        <w:spacing w:after="0" w:line="289" w:lineRule="exact"/>
        <w:rPr>
          <w:sz w:val="20"/>
          <w:szCs w:val="20"/>
          <w:color w:val="auto"/>
        </w:rPr>
      </w:pPr>
    </w:p>
    <w:p>
      <w:pPr>
        <w:ind w:left="660" w:hanging="652"/>
        <w:spacing w:after="0" w:line="269" w:lineRule="auto"/>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EMPLOYMENT. </w:t>
      </w:r>
      <w:r>
        <w:rPr>
          <w:rFonts w:ascii="Arial" w:cs="Arial" w:eastAsia="Arial" w:hAnsi="Arial"/>
          <w:sz w:val="22"/>
          <w:szCs w:val="22"/>
          <w:color w:val="auto"/>
        </w:rPr>
        <w:t>The Company agrees to employ Executive, and Executive hereby accepts such employment, on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set forth in this Agreement.</w:t>
      </w:r>
    </w:p>
    <w:p>
      <w:pPr>
        <w:spacing w:after="0" w:line="202" w:lineRule="exact"/>
        <w:rPr>
          <w:rFonts w:ascii="Arial" w:cs="Arial" w:eastAsia="Arial" w:hAnsi="Arial"/>
          <w:sz w:val="22"/>
          <w:szCs w:val="22"/>
          <w:b w:val="1"/>
          <w:bCs w:val="1"/>
          <w:color w:val="auto"/>
        </w:rPr>
      </w:pPr>
    </w:p>
    <w:p>
      <w:pPr>
        <w:jc w:val="both"/>
        <w:ind w:left="660" w:hanging="652"/>
        <w:spacing w:after="0" w:line="248" w:lineRule="auto"/>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DUTIES, RESPONSIBILITIES AND TITLE. </w:t>
      </w:r>
      <w:r>
        <w:rPr>
          <w:rFonts w:ascii="Arial" w:cs="Arial" w:eastAsia="Arial" w:hAnsi="Arial"/>
          <w:sz w:val="22"/>
          <w:szCs w:val="22"/>
          <w:color w:val="auto"/>
        </w:rPr>
        <w:t>Executive’s title shall be Executive Vice President, General Counsel and</w:t>
      </w:r>
      <w:r>
        <w:rPr>
          <w:rFonts w:ascii="Arial" w:cs="Arial" w:eastAsia="Arial" w:hAnsi="Arial"/>
          <w:sz w:val="22"/>
          <w:szCs w:val="22"/>
          <w:b w:val="1"/>
          <w:bCs w:val="1"/>
          <w:color w:val="auto"/>
        </w:rPr>
        <w:t xml:space="preserve"> </w:t>
      </w:r>
      <w:r>
        <w:rPr>
          <w:rFonts w:ascii="Arial" w:cs="Arial" w:eastAsia="Arial" w:hAnsi="Arial"/>
          <w:sz w:val="22"/>
          <w:szCs w:val="22"/>
          <w:color w:val="auto"/>
        </w:rPr>
        <w:t>Secretary of the Company and such other titles as may be assigned from time to time by the Company. Executive shall have and perform such duties, functions and responsibilities relating to Executive's employment with Company as may be assigned from time to time by the Company, consistent with such position. Executive shall report directly to the Chief Executive Officer of the Company and shall provide the services hereunder at the Company’s office located in New York City.</w:t>
      </w:r>
    </w:p>
    <w:p>
      <w:pPr>
        <w:spacing w:after="0" w:line="227" w:lineRule="exact"/>
        <w:rPr>
          <w:rFonts w:ascii="Arial" w:cs="Arial" w:eastAsia="Arial" w:hAnsi="Arial"/>
          <w:sz w:val="22"/>
          <w:szCs w:val="22"/>
          <w:b w:val="1"/>
          <w:bCs w:val="1"/>
          <w:color w:val="auto"/>
        </w:rPr>
      </w:pPr>
    </w:p>
    <w:p>
      <w:pPr>
        <w:ind w:left="660" w:hanging="652"/>
        <w:spacing w:after="0" w:line="269" w:lineRule="auto"/>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w:t>
      </w:r>
      <w:r>
        <w:rPr>
          <w:rFonts w:ascii="Arial" w:cs="Arial" w:eastAsia="Arial" w:hAnsi="Arial"/>
          <w:sz w:val="22"/>
          <w:szCs w:val="22"/>
          <w:color w:val="auto"/>
        </w:rPr>
        <w:t>During Executive’s employment hereunder, Company agrees to compensate Executive, and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to accept as compensation in full, as follows:</w:t>
      </w:r>
    </w:p>
    <w:p>
      <w:pPr>
        <w:spacing w:after="0" w:line="208" w:lineRule="exact"/>
        <w:rPr>
          <w:rFonts w:ascii="Arial" w:cs="Arial" w:eastAsia="Arial" w:hAnsi="Arial"/>
          <w:sz w:val="22"/>
          <w:szCs w:val="22"/>
          <w:b w:val="1"/>
          <w:bCs w:val="1"/>
          <w:color w:val="auto"/>
        </w:rPr>
      </w:pPr>
    </w:p>
    <w:p>
      <w:pPr>
        <w:ind w:left="1300" w:hanging="648"/>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3.1 BASE SALARY. The Company shall pay to Executive an annual base salary (the “Base Salary”) in an amount to be determined by the Board of Directors or its applicable committee (as applicable, the “Committee”) in its sole discretion The Base Salary shall be subject to applicable state and federal withholdings and shall be paid according to the Company’s standard payroll practices.</w:t>
      </w:r>
    </w:p>
    <w:p>
      <w:pPr>
        <w:spacing w:after="0" w:line="228" w:lineRule="exact"/>
        <w:rPr>
          <w:rFonts w:ascii="Arial" w:cs="Arial" w:eastAsia="Arial" w:hAnsi="Arial"/>
          <w:sz w:val="22"/>
          <w:szCs w:val="22"/>
          <w:b w:val="1"/>
          <w:bCs w:val="1"/>
          <w:color w:val="auto"/>
        </w:rPr>
      </w:pPr>
    </w:p>
    <w:p>
      <w:pPr>
        <w:ind w:left="1300" w:hanging="648"/>
        <w:spacing w:after="0" w:line="263" w:lineRule="auto"/>
        <w:rPr>
          <w:rFonts w:ascii="Arial" w:cs="Arial" w:eastAsia="Arial" w:hAnsi="Arial"/>
          <w:sz w:val="22"/>
          <w:szCs w:val="22"/>
          <w:b w:val="1"/>
          <w:bCs w:val="1"/>
          <w:color w:val="auto"/>
        </w:rPr>
      </w:pPr>
      <w:r>
        <w:rPr>
          <w:rFonts w:ascii="Arial" w:cs="Arial" w:eastAsia="Arial" w:hAnsi="Arial"/>
          <w:sz w:val="21"/>
          <w:szCs w:val="21"/>
          <w:color w:val="auto"/>
        </w:rPr>
        <w:t>3.2 BONUS. Executive will be eligible for annual incentive awards pursuant to the terms of the Cash Incentive Program or any applicable successor program (“Cash Bonus”). The target amount for Executive’s Cash Bonus shall be seventy percent (70%) of Base Salary (“Target Cash Bonus”). Executive’s actual Cash Bonus may range from 0% to an amount greater than Target Cash Bonus. The Cash Bonus, if any, earned for a fiscal year will be paid no later than the March 15 following the completion of the performance year.</w:t>
      </w:r>
    </w:p>
    <w:p>
      <w:pPr>
        <w:spacing w:after="0" w:line="216" w:lineRule="exact"/>
        <w:rPr>
          <w:rFonts w:ascii="Arial" w:cs="Arial" w:eastAsia="Arial" w:hAnsi="Arial"/>
          <w:sz w:val="22"/>
          <w:szCs w:val="22"/>
          <w:b w:val="1"/>
          <w:bCs w:val="1"/>
          <w:color w:val="auto"/>
        </w:rPr>
      </w:pPr>
    </w:p>
    <w:p>
      <w:pPr>
        <w:ind w:left="1300" w:hanging="648"/>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3.3 EQUITY. Executive will be eligible to receive annual awards under the 2006 Equity Incentive Plan, as amended and restated, or any applicable successor plan (“Equity Plan”), subject to the terms and conditions of the applicable plan and as determined by the Committee in its discretion.</w:t>
      </w:r>
    </w:p>
    <w:p>
      <w:pPr>
        <w:spacing w:after="0" w:line="226" w:lineRule="exact"/>
        <w:rPr>
          <w:rFonts w:ascii="Arial" w:cs="Arial" w:eastAsia="Arial" w:hAnsi="Arial"/>
          <w:sz w:val="22"/>
          <w:szCs w:val="22"/>
          <w:b w:val="1"/>
          <w:bCs w:val="1"/>
          <w:color w:val="auto"/>
        </w:rPr>
      </w:pPr>
    </w:p>
    <w:p>
      <w:pPr>
        <w:ind w:left="1300" w:hanging="648"/>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3.4 REIMBURSEMENTS. The Company shall reimburse Executive for all reasonable and necessary out-of-pocket expenses incurred by Executive in connection with the performance of Executive’s duties hereunder, in accordance with the Company’s expense reimbursement policies and procedures.</w:t>
      </w:r>
    </w:p>
    <w:p>
      <w:pPr>
        <w:sectPr>
          <w:pgSz w:w="11900" w:h="16838" w:orient="portrait"/>
          <w:cols w:equalWidth="0" w:num="1">
            <w:col w:w="11420"/>
          </w:cols>
          <w:pgMar w:left="240" w:top="369" w:right="239" w:bottom="1440" w:gutter="0" w:footer="0" w:header="0"/>
        </w:sectPr>
      </w:pPr>
    </w:p>
    <w:bookmarkStart w:id="48" w:name="page49"/>
    <w:bookmarkEnd w:id="48"/>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color w:val="auto"/>
        </w:rPr>
        <w:t>BENEFITS. Executive will be eligible to participate in the Company’s health, welfare and retirement benefit plans generally available for executive officers from time to time.</w:t>
      </w:r>
    </w:p>
    <w:p>
      <w:pPr>
        <w:spacing w:after="0" w:line="209" w:lineRule="exact"/>
        <w:rPr>
          <w:sz w:val="20"/>
          <w:szCs w:val="20"/>
          <w:color w:val="auto"/>
        </w:rPr>
      </w:pPr>
    </w:p>
    <w:p>
      <w:pPr>
        <w:jc w:val="both"/>
        <w:ind w:left="660" w:hanging="652"/>
        <w:spacing w:after="0" w:line="290" w:lineRule="auto"/>
        <w:tabs>
          <w:tab w:leader="none" w:pos="66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LAWS AND POLICIES; EMPLOYEE PROTECTIONS. </w:t>
      </w:r>
      <w:r>
        <w:rPr>
          <w:rFonts w:ascii="Arial" w:cs="Arial" w:eastAsia="Arial" w:hAnsi="Arial"/>
          <w:sz w:val="19"/>
          <w:szCs w:val="19"/>
          <w:color w:val="auto"/>
        </w:rPr>
        <w:t>Executive shall dedicate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full business time and attention to the performance of duties hereunder, perform Executive’s duties in good faith and to a professional standard, and fully comply with all laws and regulations pertaining to the performance of Executive’s responsibilities, all ethical rules, ABM’s Code of Business Conduct and Ethics, ABM’s Recoupment Policy as well as any and all of policies, procedures and instructions of ABM, in each case as in effect from time to time; provided, it shall not be a violation of the foregoing for Executive to manage Executive’s personal, financial and legal affairs to the extent that they do not interfere with Executive’s ability to perform Executive’s duties to the Company. Prior to joining or agreeing to serve on corporate, civil or charitable boards or committees, Executive shall obtain approval of the Chief Executive Officer or otherwise as required by ABM’s Corporate Governance Guidelines as in effect from time to time.</w:t>
      </w:r>
    </w:p>
    <w:p>
      <w:pPr>
        <w:spacing w:after="0" w:line="155" w:lineRule="exact"/>
        <w:rPr>
          <w:rFonts w:ascii="Arial" w:cs="Arial" w:eastAsia="Arial" w:hAnsi="Arial"/>
          <w:sz w:val="19"/>
          <w:szCs w:val="19"/>
          <w:b w:val="1"/>
          <w:bCs w:val="1"/>
          <w:color w:val="auto"/>
        </w:rPr>
      </w:pPr>
    </w:p>
    <w:p>
      <w:pPr>
        <w:jc w:val="both"/>
        <w:ind w:left="660"/>
        <w:spacing w:after="0" w:line="294" w:lineRule="auto"/>
        <w:rPr>
          <w:rFonts w:ascii="Arial" w:cs="Arial" w:eastAsia="Arial" w:hAnsi="Arial"/>
          <w:sz w:val="19"/>
          <w:szCs w:val="19"/>
          <w:b w:val="1"/>
          <w:bCs w:val="1"/>
          <w:color w:val="auto"/>
        </w:rPr>
      </w:pPr>
      <w:r>
        <w:rPr>
          <w:rFonts w:ascii="Arial" w:cs="Arial" w:eastAsia="Arial" w:hAnsi="Arial"/>
          <w:sz w:val="19"/>
          <w:szCs w:val="19"/>
          <w:color w:val="auto"/>
        </w:rPr>
        <w:t>Nothing in this Agreement or otherwise limits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(“Government Agency”) regarding possible legal violations, without disclosure to the Company. The Company may not retaliate against Executive for any of these activities, and nothing in this Agreement or otherwise requires Executive to waive any monetary award or other payment that Executive might become entitled to from the SEC or any other Government Agency.</w:t>
      </w:r>
    </w:p>
    <w:p>
      <w:pPr>
        <w:spacing w:after="0" w:line="366" w:lineRule="exact"/>
        <w:rPr>
          <w:sz w:val="20"/>
          <w:szCs w:val="20"/>
          <w:color w:val="auto"/>
        </w:rPr>
      </w:pPr>
    </w:p>
    <w:p>
      <w:pPr>
        <w:jc w:val="both"/>
        <w:ind w:left="740" w:firstLine="648"/>
        <w:spacing w:after="0" w:line="288" w:lineRule="auto"/>
        <w:rPr>
          <w:sz w:val="20"/>
          <w:szCs w:val="20"/>
          <w:color w:val="auto"/>
        </w:rPr>
      </w:pPr>
      <w:r>
        <w:rPr>
          <w:rFonts w:ascii="Arial" w:cs="Arial" w:eastAsia="Arial" w:hAnsi="Arial"/>
          <w:sz w:val="19"/>
          <w:szCs w:val="19"/>
          <w:color w:val="auto"/>
        </w:rPr>
        <w:t>Pursuant to Section 7 of the Defend Trade Secrets Act of 2016 (which added 18 U.S.C. § 1833(b)), the Company and Executive acknowledge and agree that Executive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 Nothing in this Agreement or otherwise is intended to conflict with 18 U.S.C. § 1833(b) or create liability for disclosures of trade secrets that are expressly allowed by such Section.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47" w:right="239" w:bottom="1440" w:gutter="0" w:footer="0" w:header="0"/>
        </w:sectPr>
      </w:pPr>
    </w:p>
    <w:bookmarkStart w:id="49" w:name="page50"/>
    <w:bookmarkEnd w:id="49"/>
    <w:p>
      <w:pPr>
        <w:jc w:val="both"/>
        <w:ind w:left="660" w:hanging="652"/>
        <w:spacing w:after="0" w:line="293" w:lineRule="auto"/>
        <w:tabs>
          <w:tab w:leader="none" w:pos="66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RESTRICTIVE COVENANTS. </w:t>
      </w:r>
      <w:r>
        <w:rPr>
          <w:rFonts w:ascii="Arial" w:cs="Arial" w:eastAsia="Arial" w:hAnsi="Arial"/>
          <w:sz w:val="19"/>
          <w:szCs w:val="19"/>
          <w:color w:val="auto"/>
        </w:rPr>
        <w:t>In consideration of the compensation, contract term, potential Severance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continued employment provided by 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 and thereafter as provided, except that if Executive’s employment is terminated under circumstances qualifying Executive for payments under the Change-in-Control Agreement (as defined below), the applicable restrictive covenants set forth in such Change-in-Control Agreement shall supersede Sections 5.3, 5.4, 5.5 and 5.6 below:</w:t>
      </w:r>
    </w:p>
    <w:p>
      <w:pPr>
        <w:spacing w:after="0" w:line="191" w:lineRule="exact"/>
        <w:rPr>
          <w:rFonts w:ascii="Arial" w:cs="Arial" w:eastAsia="Arial" w:hAnsi="Arial"/>
          <w:sz w:val="19"/>
          <w:szCs w:val="19"/>
          <w:b w:val="1"/>
          <w:bCs w:val="1"/>
          <w:color w:val="auto"/>
        </w:rPr>
      </w:pPr>
    </w:p>
    <w:p>
      <w:pPr>
        <w:ind w:left="1300" w:hanging="648"/>
        <w:spacing w:after="0" w:line="284" w:lineRule="auto"/>
        <w:rPr>
          <w:rFonts w:ascii="Arial" w:cs="Arial" w:eastAsia="Arial" w:hAnsi="Arial"/>
          <w:sz w:val="19"/>
          <w:szCs w:val="19"/>
          <w:b w:val="1"/>
          <w:bCs w:val="1"/>
          <w:color w:val="auto"/>
        </w:rPr>
      </w:pPr>
      <w:r>
        <w:rPr>
          <w:rFonts w:ascii="Arial" w:cs="Arial" w:eastAsia="Arial" w:hAnsi="Arial"/>
          <w:sz w:val="19"/>
          <w:szCs w:val="19"/>
          <w:color w:val="auto"/>
        </w:rPr>
        <w:t>5.1 CONFIDENTIAL INFORMATION DEFINED. Confidential Information includes but is not limited to: (i) Company and its subsidiary companies’ trade secrets, know-how, ideas, applications, systems, processes and other confidential information which is not generally known to and/or readily ascertainable through proper means by the general public; (ii) plans for business development, marketing, business plans and strategies, budgets and financial statements of any kind, costs and suppliers, including methods, policies, procedures, practices, devices and other means used by the Company and its subsidiaries in the operation of its business, pricing plans and strategies, as well as information about the Company and affiliated entity pricing structures and fees, unpublished financial information, contract provisions, training materials, profit margins and bid information; (iii) information regarding the skills, abilities, performance and compensation of other employees of the Company or its subsidiaries, or of the employees of any company that contracts to provide services to the Company or its subsidiaries; (iv) information of third parties to which Executive had access by virtue of Executive’s employment, including, but not limited to information on customers, prospective customers, and/or vendors, including current or prospective customers’ names, contact information, organizational structure(s), and their representatives responsible for considering the entry or entering into agreements for those services, and/or products provided by the Company and its subsidiaries; customer leads or referrals; customer preferences, needs, and requirements (including customer likes and dislikes, as well as supply and staffing requirements) and the manner in which they have been met by the Company or its subsidiaries; customer billing procedures, credit limits and payment practices,; and customer information with respect to contract and relationship terms and conditions, pricing, costs, profits, sales, markets, plans for future business and other development; purchasing techniques; supplier lists; (v) information contained in the Company’s LCMS database, JDE , LMS or similar systems; (vi) any and all information related to past, current or future acquisitions between the Company or Company-affiliated entities including information used or relied upon for said acquisition (“Confidential Information”). Notwithstanding the generality of the foregoing, Confidential Information shall not include: (x) information known to Executive prior to Executive’s discussions with the Company regarding Executive’s employment with the Company; (y) contact information contained on Executive’s rolodex (other than for officers, directors, employees, and/or independent contractors of the Company and Company-affiliated entities); or (z) information that is or becomes generally known in the industry or part of the public domain.</w:t>
      </w:r>
    </w:p>
    <w:p>
      <w:pPr>
        <w:spacing w:after="0" w:line="20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NON-DISCLOSURE. The Company and Executive acknowledge and agree that the Company has invested significant effort, time and expense to develop its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5" w:right="239" w:bottom="1440" w:gutter="0" w:footer="0" w:header="0"/>
        </w:sectPr>
      </w:pPr>
    </w:p>
    <w:bookmarkStart w:id="50" w:name="page51"/>
    <w:bookmarkEnd w:id="50"/>
    <w:p>
      <w:pPr>
        <w:jc w:val="both"/>
        <w:ind w:left="100"/>
        <w:spacing w:after="0" w:line="286" w:lineRule="auto"/>
        <w:rPr>
          <w:sz w:val="20"/>
          <w:szCs w:val="20"/>
          <w:color w:val="auto"/>
        </w:rPr>
      </w:pPr>
      <w:r>
        <w:rPr>
          <w:rFonts w:ascii="Arial" w:cs="Arial" w:eastAsia="Arial" w:hAnsi="Arial"/>
          <w:sz w:val="19"/>
          <w:szCs w:val="19"/>
          <w:color w:val="auto"/>
        </w:rPr>
        <w:t>Confidential Information. Except in the proper performance of this Agreement, Executive agrees 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the Company or its subsidiaries or by virtue of Executive’s employment. This Confidential Information has unique value to the Company and its subsidiaries, is not generally known or readily available by proper means to their competitors or the general public, and could only be developed by others after investing significant effort, time, and expense. Executive understands that Company or its subsidiaries would not make such Confidential Information available to Executive unless the Company was assured that all such Confidential Information will be held in trust and confidence in accordance with this Agreement and applicable law. Executive hereby acknowledges and agrees to use this Confidential Information solely for the benefit of the Company and its affiliated entities. In addition, Executive agrees that at all times after the voluntary or involuntary termination of Executive’s employment, Executive shall not attempt to seek, seek, attempt to solicit, solicit, or accept work from of any customer or active customer prospect of Company or any other Company-affiliated entity through the direct or indirect use of any Confidential Information or by any other unfair or unlawful business practice.</w:t>
      </w:r>
    </w:p>
    <w:p>
      <w:pPr>
        <w:spacing w:after="0" w:line="200" w:lineRule="exact"/>
        <w:rPr>
          <w:sz w:val="20"/>
          <w:szCs w:val="20"/>
          <w:color w:val="auto"/>
        </w:rPr>
      </w:pPr>
    </w:p>
    <w:p>
      <w:pPr>
        <w:spacing w:after="0" w:line="257" w:lineRule="exact"/>
        <w:rPr>
          <w:sz w:val="20"/>
          <w:szCs w:val="20"/>
          <w:color w:val="auto"/>
        </w:rPr>
      </w:pPr>
    </w:p>
    <w:p>
      <w:pPr>
        <w:jc w:val="both"/>
        <w:ind w:left="100" w:hanging="647"/>
        <w:spacing w:after="0" w:line="285" w:lineRule="auto"/>
        <w:tabs>
          <w:tab w:leader="none" w:pos="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NON-SOLICITATION OF EMPLOYEES. Executive acknowledges and agrees that the Company has developed its work force as the result of its investment of substantial time, effort, and expense. During the course and solely as a result of Executive’s employment with the Company, Executive will come into contact with officers, directors, employees, and/or independent contractors of the Company and Company-affiliated 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the Company and for a period of twelve (12) months following the termination of Executive’s employment (whether termination is voluntary or involuntary), Executive will not directly or indirectly solicit, hire, recruit or otherwise encourage, assist in or arrange for any officer, director, employee, and/or independent contractor to terminate his/her business relationship with the Company or any other Company-affiliated entity except in the proper performance of this Agreement. This prohibition against solicitation shall include but not be limited to: (i) identifying to other companies or their agents, recruiting or staffing firms, or other third parties the Company officers, directors, employees, or independent contractors who have specialized knowledge concerning the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 quantity of work, specialized knowledge, or personal characteristics of any person still engaged by Company or any other Company-affiliated entity; and (iii) providing such information to prospective companies or their agents, recruiting</w:t>
      </w:r>
    </w:p>
    <w:p>
      <w:pPr>
        <w:spacing w:after="0" w:line="200" w:lineRule="exact"/>
        <w:rPr>
          <w:sz w:val="20"/>
          <w:szCs w:val="20"/>
          <w:color w:val="auto"/>
        </w:rPr>
      </w:pPr>
    </w:p>
    <w:p>
      <w:pPr>
        <w:spacing w:after="0" w:line="23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591" w:right="239" w:bottom="1440" w:gutter="0" w:footer="0" w:header="0"/>
        </w:sectPr>
      </w:pPr>
    </w:p>
    <w:bookmarkStart w:id="51" w:name="page52"/>
    <w:bookmarkEnd w:id="51"/>
    <w:p>
      <w:pPr>
        <w:jc w:val="both"/>
        <w:ind w:left="100"/>
        <w:spacing w:after="0" w:line="253" w:lineRule="auto"/>
        <w:rPr>
          <w:sz w:val="20"/>
          <w:szCs w:val="20"/>
          <w:color w:val="auto"/>
        </w:rPr>
      </w:pPr>
      <w:r>
        <w:rPr>
          <w:rFonts w:ascii="Arial" w:cs="Arial" w:eastAsia="Arial" w:hAnsi="Arial"/>
          <w:sz w:val="22"/>
          <w:szCs w:val="22"/>
          <w:color w:val="auto"/>
        </w:rPr>
        <w:t>or staffing firms, or other third parties preceding possible engagement; provided, nothing in this Section 5.3 shall prevent Executive from serving as a reference in response to a bona fide inquiry regarding an employee or former employee of the Company.</w:t>
      </w:r>
    </w:p>
    <w:p>
      <w:pPr>
        <w:spacing w:after="0" w:line="226" w:lineRule="exact"/>
        <w:rPr>
          <w:sz w:val="20"/>
          <w:szCs w:val="20"/>
          <w:color w:val="auto"/>
        </w:rPr>
      </w:pPr>
    </w:p>
    <w:p>
      <w:pPr>
        <w:jc w:val="both"/>
        <w:ind w:left="100" w:hanging="647"/>
        <w:spacing w:after="0" w:line="285" w:lineRule="auto"/>
        <w:tabs>
          <w:tab w:leader="none" w:pos="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NON-SOLICITATION OF CUSTOMERS. Executive acknowledges and agrees that the Company and its subsidiaries have identified, solicited, and developed their customers and developed customer relationships as the result of their investment of significant time, effort, and expense and that the Company has a legitimate business interest in protecting these relationships. Executive further acknowledges that Executive would not have been privy to these relationships were it not for Executive’s employment by the Company. Executive further acknowledges and agrees that the loss of such customers and clients would damage the Company and potentially cause the Company great and irreparable harm. Consequently, Executive covenants and agrees that during and for twelve (12) months following the termination of Executive’s employment with the Company (whether such termination is voluntary or involuntary), Executive shall not, directly or indirectly, for the benefit of any person or entity other than the Company, attempt to seek, seek, attempt to solicit, solicit, or 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 (a) the Executive performed work, services, or engaged in business activity on behalf of the Company within the twelve (12) month period preceding the effective date of Executive’s termination of employment; and/or (b) where the Company has business operations and Executive was provided Confidential Information regarding the Company’s business activities in those territories within the twelve (12) month period preceding the effective date of Executive’s termination of employment.</w:t>
      </w:r>
    </w:p>
    <w:p>
      <w:pPr>
        <w:spacing w:after="0" w:line="208" w:lineRule="exact"/>
        <w:rPr>
          <w:sz w:val="20"/>
          <w:szCs w:val="20"/>
          <w:color w:val="auto"/>
        </w:rPr>
      </w:pPr>
    </w:p>
    <w:p>
      <w:pPr>
        <w:jc w:val="both"/>
        <w:ind w:left="100" w:hanging="647"/>
        <w:spacing w:after="0" w:line="283" w:lineRule="auto"/>
        <w:tabs>
          <w:tab w:leader="none" w:pos="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POST EMPLOYMENT COMPETITION. Executive agrees that, while employed by the Company and for a period of twelve (12) 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the Company, or any Company-affiliated entity of which Executive had Confidential Information, in the twelve (12) month period preceding the effective date of Executive’s termination of employment. Executive acknowledges that the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the Company within the twelve (12) month period preceding the effective date of Executive’s termination of employment; and/or</w:t>
      </w:r>
    </w:p>
    <w:p>
      <w:pPr>
        <w:spacing w:after="0" w:line="6" w:lineRule="exact"/>
        <w:rPr>
          <w:sz w:val="20"/>
          <w:szCs w:val="20"/>
          <w:color w:val="auto"/>
        </w:rPr>
      </w:pPr>
    </w:p>
    <w:p>
      <w:pPr>
        <w:ind w:left="100" w:firstLine="5"/>
        <w:spacing w:after="0" w:line="246" w:lineRule="auto"/>
        <w:tabs>
          <w:tab w:leader="none" w:pos="422" w:val="left"/>
        </w:tabs>
        <w:numPr>
          <w:ilvl w:val="0"/>
          <w:numId w:val="21"/>
        </w:numPr>
        <w:rPr>
          <w:rFonts w:ascii="Arial" w:cs="Arial" w:eastAsia="Arial" w:hAnsi="Arial"/>
          <w:sz w:val="22"/>
          <w:szCs w:val="22"/>
          <w:color w:val="auto"/>
        </w:rPr>
      </w:pPr>
      <w:r>
        <w:rPr>
          <w:rFonts w:ascii="Arial" w:cs="Arial" w:eastAsia="Arial" w:hAnsi="Arial"/>
          <w:sz w:val="22"/>
          <w:szCs w:val="22"/>
          <w:color w:val="auto"/>
        </w:rPr>
        <w:t>where the Company has business operations and Executive was provided Confidential Information regarding the Company’s business activities in those</w:t>
      </w:r>
    </w:p>
    <w:p>
      <w:pPr>
        <w:spacing w:after="0" w:line="21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591" w:right="239" w:bottom="1440" w:gutter="0" w:footer="0" w:header="0"/>
        </w:sectPr>
      </w:pPr>
    </w:p>
    <w:bookmarkStart w:id="52" w:name="page53"/>
    <w:bookmarkEnd w:id="52"/>
    <w:p>
      <w:pPr>
        <w:jc w:val="both"/>
        <w:ind w:left="100"/>
        <w:spacing w:after="0" w:line="297" w:lineRule="auto"/>
        <w:rPr>
          <w:sz w:val="20"/>
          <w:szCs w:val="20"/>
          <w:color w:val="auto"/>
        </w:rPr>
      </w:pPr>
      <w:r>
        <w:rPr>
          <w:rFonts w:ascii="Arial" w:cs="Arial" w:eastAsia="Arial" w:hAnsi="Arial"/>
          <w:sz w:val="19"/>
          <w:szCs w:val="19"/>
          <w:color w:val="auto"/>
        </w:rPr>
        <w:t>territories within the twelve (12) month period preceding the effective date of Executive’s termination of employment. The restrictions in Section 5.5 shall only apply if, within the twelve (12) month period prior to the effective date of Executive’s termination, Executive was employed by the Company to perform sales, marketing, and/or operational activities, or was directly involved in corporate development and strategy (i.e., mergers, acquisitions, divestitures and/or other corporate strategic initiatives) for the Company or its subsidiaries/affiliates.</w:t>
      </w:r>
    </w:p>
    <w:p>
      <w:pPr>
        <w:spacing w:after="0" w:line="188" w:lineRule="exact"/>
        <w:rPr>
          <w:sz w:val="20"/>
          <w:szCs w:val="20"/>
          <w:color w:val="auto"/>
        </w:rPr>
      </w:pPr>
    </w:p>
    <w:p>
      <w:pPr>
        <w:jc w:val="both"/>
        <w:ind w:left="100" w:hanging="647"/>
        <w:spacing w:after="0" w:line="297" w:lineRule="auto"/>
        <w:tabs>
          <w:tab w:leader="none" w:pos="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NON-DISPARAGEMENT. Following the termination of Executive’s employment for any reason, Executive agrees not to make any statement or take any action which disparages, defames, or places in a negative light the Company, Company-affiliated entities, or its or their reputation, goodwill, commercial interests or past and present officers, directors, employees, consultants, and/or agents, and the Company shall instruct its directors and executive officers to not make any statement or take any action which disparages, defames, or places in a negative light Executive.</w:t>
      </w:r>
    </w:p>
    <w:p>
      <w:pPr>
        <w:spacing w:after="0" w:line="188"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color w:val="auto"/>
        </w:rPr>
        <w:t>CREATIONS. The terms and conditions set forth in Appendix A attached hereto are hereby incorporated by reference as though fully set forth herein.</w:t>
      </w:r>
    </w:p>
    <w:p>
      <w:pPr>
        <w:spacing w:after="0" w:line="209" w:lineRule="exact"/>
        <w:rPr>
          <w:sz w:val="20"/>
          <w:szCs w:val="20"/>
          <w:color w:val="auto"/>
        </w:rPr>
      </w:pPr>
    </w:p>
    <w:p>
      <w:pPr>
        <w:jc w:val="both"/>
        <w:ind w:left="100" w:hanging="647"/>
        <w:spacing w:after="0" w:line="258" w:lineRule="auto"/>
        <w:tabs>
          <w:tab w:leader="none" w:pos="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1"/>
          <w:szCs w:val="21"/>
          <w:color w:val="auto"/>
        </w:rPr>
        <w:t>CONFIDENTIAL INFORMATION OF OTHERS; NO CONFLICTS</w:t>
      </w:r>
      <w:r>
        <w:rPr>
          <w:rFonts w:ascii="Arial" w:cs="Arial" w:eastAsia="Arial" w:hAnsi="Arial"/>
          <w:sz w:val="21"/>
          <w:szCs w:val="21"/>
          <w:b w:val="1"/>
          <w:bCs w:val="1"/>
          <w:color w:val="auto"/>
        </w:rPr>
        <w:t>.</w:t>
      </w:r>
      <w:r>
        <w:rPr>
          <w:rFonts w:ascii="Arial" w:cs="Arial" w:eastAsia="Arial" w:hAnsi="Arial"/>
          <w:sz w:val="21"/>
          <w:szCs w:val="21"/>
          <w:color w:val="auto"/>
        </w:rPr>
        <w:t xml:space="preserve"> Executive will not use, disclose to the Company or induce the Company to use any legally protected confidential, proprietary or trade secret information or material belonging to others which comes into Executive’s knowledge or possession at any time, nor will Executive use any such legally protected information or material in the course of Executive’s employment with the Company. Executive has no other agreements or relationships with or commitments to any other person or entity that conflicts with Executive’s obligations to the Company as an employee of the Company or under this Agreement, and Executive represents that Executive’s employment will not require Executive to violate any legal obligations to any third-party. In the event Executive believes that Executive’s work at the Company would make it difficult for Executive not to disclose to the Company any legally protected confidential, proprietary or trade secret information or materials belonging to others, Executive will immediately inform the Company’s Chief Human Resources Officer. Executive has not entered into, and Executive agrees Executive will not enter into, any oral or written agreement in conflict with this Agreement.</w:t>
      </w:r>
    </w:p>
    <w:p>
      <w:pPr>
        <w:spacing w:after="0" w:line="227" w:lineRule="exact"/>
        <w:rPr>
          <w:sz w:val="20"/>
          <w:szCs w:val="20"/>
          <w:color w:val="auto"/>
        </w:rPr>
      </w:pPr>
    </w:p>
    <w:p>
      <w:pPr>
        <w:jc w:val="both"/>
        <w:ind w:left="100" w:hanging="647"/>
        <w:spacing w:after="0" w:line="288" w:lineRule="auto"/>
        <w:tabs>
          <w:tab w:leader="none" w:pos="8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color w:val="auto"/>
        </w:rPr>
        <w:t>COOPERATION WITH LEGAL MATTERS. During Executive’s employment with Company and thereafter, Executive shall reasonably cooperate with Company and any Company-affiliated entity in its or their investigation, defense or prosecution of any potential, current or future legal matter in any forum, including but not limited to lawsuits, administrative charges, audits, arbitrations, and internal and external investigations. Executive’s cooperation shall include, but is not limited to, reviewing and preparing documents and reports, meeting with attorneys representing any Company-affiliated entity, providing truthful testimony, and communicating Executive’s knowledge of relevant facts to any 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591" w:right="239" w:bottom="1440" w:gutter="0" w:footer="0" w:header="0"/>
        </w:sectPr>
      </w:pPr>
    </w:p>
    <w:bookmarkStart w:id="53" w:name="page54"/>
    <w:bookmarkEnd w:id="53"/>
    <w:p>
      <w:pPr>
        <w:jc w:val="both"/>
        <w:ind w:left="100"/>
        <w:spacing w:after="0" w:line="288" w:lineRule="auto"/>
        <w:rPr>
          <w:sz w:val="20"/>
          <w:szCs w:val="20"/>
          <w:color w:val="auto"/>
        </w:rPr>
      </w:pPr>
      <w:r>
        <w:rPr>
          <w:rFonts w:ascii="Arial" w:cs="Arial" w:eastAsia="Arial" w:hAnsi="Arial"/>
          <w:sz w:val="19"/>
          <w:szCs w:val="19"/>
          <w:color w:val="auto"/>
        </w:rPr>
        <w:t>claims, or potential claim with any individual (or their attorney or investigator) who is pursuing, or considering pursuing, any claims against the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the Company immediately in the event there is a request for information or inquiry pertaining to the Company, any Company-affiliated entity, or Executive’s knowledge of or employment with the Company. In performing responsibilities under this Section following termination of employment for any reason, Executive shall be compensated for Executive’s time at an hourly rate of $250 per hour. However, during any period in which Executive is an employee of the Company, Executive shall not be so compensated.</w:t>
      </w:r>
    </w:p>
    <w:p>
      <w:pPr>
        <w:spacing w:after="0" w:line="201" w:lineRule="exact"/>
        <w:rPr>
          <w:sz w:val="20"/>
          <w:szCs w:val="20"/>
          <w:color w:val="auto"/>
        </w:rPr>
      </w:pPr>
    </w:p>
    <w:p>
      <w:pPr>
        <w:jc w:val="both"/>
        <w:ind w:left="100" w:hanging="647"/>
        <w:spacing w:after="0" w:line="289" w:lineRule="auto"/>
        <w:tabs>
          <w:tab w:leader="none" w:pos="8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color w:val="auto"/>
        </w:rPr>
        <w:t>REMEDIES AND DAMAGES. The parties agree that compliance with Sections 5.1 - 5.7 of the Agreement and Appendix A is necessary to protect the business, reputation and goodwill of the Company and, in the case of Section 5.5 of the Agreement, the reputation and goodwill of Executive, that the restrictions contained herein are reasonable, and that any breach of Section 5 may result in irreparable and continuing harm to the Company or to Executive, for which monetary damages will not provide adequate relief. Accordingly, in the event of any actual or threatened breach of any covenant or promise made by either party in Section 5, Company and Executive agree that both parties shall be entitled to all appropriate remedies, including temporary restraining orders and injunctions enjoining or restraining such actual or threatened breach. Each of the Company and Executive hereby consents to the issuance thereof forthwith by any court of competent jurisdiction.</w:t>
      </w:r>
    </w:p>
    <w:p>
      <w:pPr>
        <w:spacing w:after="0" w:line="198" w:lineRule="exact"/>
        <w:rPr>
          <w:sz w:val="20"/>
          <w:szCs w:val="20"/>
          <w:color w:val="auto"/>
        </w:rPr>
      </w:pPr>
    </w:p>
    <w:p>
      <w:pPr>
        <w:jc w:val="both"/>
        <w:ind w:left="100" w:hanging="647"/>
        <w:spacing w:after="0" w:line="292" w:lineRule="auto"/>
        <w:tabs>
          <w:tab w:leader="none" w:pos="8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color w:val="auto"/>
        </w:rPr>
        <w:t>LIMITATIONS. Nothing in this Agreement shall be binding upon the parties to the extent it is void or unenforceable for any reason in the State of New York, including, without limitation, 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 If there are any state attorney ethics rules where Executive is admitted to practice law that conflict with and are less restrictive than the restrictive covenants contained in Sections 5.3-5.5 of this Agreement, as determined in good faith by the Company, such attorney ethics rules shall control.</w:t>
      </w: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591" w:right="239" w:bottom="1440" w:gutter="0" w:footer="0" w:header="0"/>
        </w:sectPr>
      </w:pPr>
    </w:p>
    <w:bookmarkStart w:id="54" w:name="page55"/>
    <w:bookmarkEnd w:id="54"/>
    <w:p>
      <w:pPr>
        <w:jc w:val="both"/>
        <w:ind w:left="660" w:hanging="652"/>
        <w:spacing w:after="0" w:line="260" w:lineRule="auto"/>
        <w:tabs>
          <w:tab w:leader="none" w:pos="660"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color w:val="auto"/>
        </w:rPr>
        <w:t>AT-WILL EMPLOYMENT</w:t>
      </w:r>
      <w:r>
        <w:rPr>
          <w:rFonts w:ascii="Arial" w:cs="Arial" w:eastAsia="Arial" w:hAnsi="Arial"/>
          <w:sz w:val="21"/>
          <w:szCs w:val="21"/>
          <w:color w:val="auto"/>
        </w:rPr>
        <w:t>. The employment of Executive shall be “at-will” at all times. The Company or Executive may</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Executive’s 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Following the termination of Executive’s employment for any reason, the Company shall pay to Executive all compensation to which Executive is entitled up through the date of termination, including accrued but unpaid Base Salary, any accrued and unused paid time off and any incurred but unpaid reimbursements (together “Accrued Obligations”). Thereafter, all obligations of the Company under this Agreement shall cease other than those set forth in Section 7.</w:t>
      </w:r>
    </w:p>
    <w:p>
      <w:pPr>
        <w:spacing w:after="0" w:line="216" w:lineRule="exact"/>
        <w:rPr>
          <w:rFonts w:ascii="Arial" w:cs="Arial" w:eastAsia="Arial" w:hAnsi="Arial"/>
          <w:sz w:val="21"/>
          <w:szCs w:val="21"/>
          <w:b w:val="1"/>
          <w:bCs w:val="1"/>
          <w:color w:val="auto"/>
        </w:rPr>
      </w:pPr>
    </w:p>
    <w:p>
      <w:pPr>
        <w:ind w:left="660" w:hanging="652"/>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66" w:lineRule="exact"/>
        <w:rPr>
          <w:rFonts w:ascii="Arial" w:cs="Arial" w:eastAsia="Arial" w:hAnsi="Arial"/>
          <w:sz w:val="22"/>
          <w:szCs w:val="22"/>
          <w:b w:val="1"/>
          <w:bCs w:val="1"/>
          <w:color w:val="auto"/>
        </w:rPr>
      </w:pPr>
    </w:p>
    <w:p>
      <w:pPr>
        <w:jc w:val="right"/>
        <w:ind w:left="1300" w:hanging="648"/>
        <w:spacing w:after="0" w:line="283" w:lineRule="auto"/>
        <w:rPr>
          <w:rFonts w:ascii="Arial" w:cs="Arial" w:eastAsia="Arial" w:hAnsi="Arial"/>
          <w:sz w:val="22"/>
          <w:szCs w:val="22"/>
          <w:b w:val="1"/>
          <w:bCs w:val="1"/>
          <w:color w:val="auto"/>
        </w:rPr>
      </w:pPr>
      <w:r>
        <w:rPr>
          <w:rFonts w:ascii="Arial" w:cs="Arial" w:eastAsia="Arial" w:hAnsi="Arial"/>
          <w:sz w:val="19"/>
          <w:szCs w:val="19"/>
          <w:color w:val="auto"/>
        </w:rPr>
        <w:t>7.1    TERMINATION BY COMPANY FOR CAUSE. Where the Company terminates Executive’s employment for Cause, all obligations of the Company under this Agreement shall cease; provided the Company shall pay Executive the Accrued Obligations within thirty (30) days of the termination of Executive’s employment. For purposes of this Agreement, “Cause” shall mean the occurrence of one of the following: (i) Executive’s willful misconduct, dishonesty, or insubordination; (ii) Executive’s conviction (or entry of a plea bargain admitting criminal guilt) of any felony or a misdemeanor involving moral turpitude; (iii) drug or alcohol abuse that has a material effect on the performance of Executive’s duties and responsibilities under this Agreement; (iv) Executive’s willful and repeated failure to substantially perform Executive’s duties and responsibilities under this Agreement for reasons other than death or Disability, as defined below; (v) Executive’s willful and repeated inattention to duty for reasons other than death or Disability; (vi) Executive’s material and willful violation of the Company’s Code of Business Conduct; and</w:t>
      </w:r>
    </w:p>
    <w:p>
      <w:pPr>
        <w:spacing w:after="0" w:line="7" w:lineRule="exact"/>
        <w:rPr>
          <w:rFonts w:ascii="Arial" w:cs="Arial" w:eastAsia="Arial" w:hAnsi="Arial"/>
          <w:sz w:val="22"/>
          <w:szCs w:val="22"/>
          <w:b w:val="1"/>
          <w:bCs w:val="1"/>
          <w:color w:val="auto"/>
        </w:rPr>
      </w:pPr>
    </w:p>
    <w:p>
      <w:pPr>
        <w:jc w:val="both"/>
        <w:ind w:left="1300" w:right="20" w:firstLine="5"/>
        <w:spacing w:after="0" w:line="244" w:lineRule="auto"/>
        <w:tabs>
          <w:tab w:leader="none" w:pos="1734" w:val="left"/>
        </w:tabs>
        <w:numPr>
          <w:ilvl w:val="1"/>
          <w:numId w:val="22"/>
        </w:numPr>
        <w:rPr>
          <w:rFonts w:ascii="Arial" w:cs="Arial" w:eastAsia="Arial" w:hAnsi="Arial"/>
          <w:sz w:val="22"/>
          <w:szCs w:val="22"/>
          <w:color w:val="auto"/>
        </w:rPr>
      </w:pPr>
      <w:r>
        <w:rPr>
          <w:rFonts w:ascii="Arial" w:cs="Arial" w:eastAsia="Arial" w:hAnsi="Arial"/>
          <w:sz w:val="22"/>
          <w:szCs w:val="22"/>
          <w:color w:val="auto"/>
        </w:rPr>
        <w:t>any other material and willful breach of this Agreement by Executive. No Cause shall exist until the Company has given Executive written notice describing the circumstances giving rise to Cause in reasonable detail and, to the extent such circumstances are susceptible to remedy, Executive has failed to remedy such circumstances within fifteen (15) days of receiving such notice.</w:t>
      </w:r>
    </w:p>
    <w:p>
      <w:pPr>
        <w:spacing w:after="0" w:line="23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TERMINATION BY THE COMPANY WITHOUT CAUSE OR TERMINATION BY THE EXECUTIVE FOR GOOD REASON. Where the Company terminates Executive’s employment without Cause, or Executive terminates Executive’s employment for Good Reason (as defined below), Executive shall be entitled to: (i) a payment equal in the aggregate to 2 times the sum of (A) Executive’s Base Salary and (B) Executive’s Target Cash Bonus, which payment shall be paid in equal installments (no less frequently than monthly) over the 24-month period following Executive’s separation from service, provided that any amounts otherwise payable prior to the effective date of the release referenced below shall be paid in a lump sum within 7 days following the effective date of such release; (ii) eighteen (18) months’ medical benefits coverage, which may be provided through COBRA reimbursement; (iii) Executive’s prorated Cash Bonus for the year of termination based on the Committee’s determination of actual performance following the end of the performance period; and (iv) any earned but unpaid Cash Bonus in respect of any completed fiscal year that has ended prior to the date of such termination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5" w:right="239" w:bottom="1440" w:gutter="0" w:footer="0" w:header="0"/>
        </w:sectPr>
      </w:pPr>
    </w:p>
    <w:bookmarkStart w:id="55" w:name="page56"/>
    <w:bookmarkEnd w:id="55"/>
    <w:p>
      <w:pPr>
        <w:jc w:val="both"/>
        <w:ind w:left="100"/>
        <w:spacing w:after="0" w:line="285" w:lineRule="auto"/>
        <w:rPr>
          <w:sz w:val="20"/>
          <w:szCs w:val="20"/>
          <w:color w:val="auto"/>
        </w:rPr>
      </w:pPr>
      <w:r>
        <w:rPr>
          <w:rFonts w:ascii="Arial" w:cs="Arial" w:eastAsia="Arial" w:hAnsi="Arial"/>
          <w:sz w:val="19"/>
          <w:szCs w:val="19"/>
          <w:color w:val="auto"/>
        </w:rPr>
        <w:t>amounts set forth in clauses (i) through (iv) collectively, the “Severance Benefits”); provided that Executive’s eligibility to receive the Severance Benefits is conditioned on: (A) Executive having first signed a release agreement in the form provided by the Company and reasonably acceptable to Executive, but containing no further post-employment restrictions or covenants other than those to which Executive is already subject hereunder, and the release becoming irrevocable by its terms within sixty (60) calendar days following the date of Executive’s termination of employment; and (B) Executive’s continued compliance with all continuing obligations under this Agreement, including but not limited to those set forth in Section 5. Executive shall not have any other rights or claims under this Agreement. For purposes of this Agreement, “Good Reason” shall mean the occurrence of one or more of the following events without Executive's prior written consent: (w) a material reduction in the Executive's Base Salary, (x) a material reduction in the Target Cash Bonus, (y) the Executive is no longer the most senior legal executive of the Company and/or reporting directly to the CEO or (z) the Company requires the Executive to change Executive’s principal location of work by more than 50 miles No Good Reason shall exist unless Executive has provided notice of such circumstances giving rise to Good Reason in reasonable detail to the Company within 30 days following the occurrence of such circumstances and, to the extent such circumstances are susceptible to remedy, the Company has failed to remedy such circumstances within thirty (30) days of receiving such notice, and Executive shall have resigned within 30 days following expiration of such cure period. For the avoidance of doubt, in the event Executive becomes entitled to receive Severance Benefits, any such Severance Benefits that remain unpaid upon Executive’s death shall be paid to Executive’s estate.</w:t>
      </w:r>
    </w:p>
    <w:p>
      <w:pPr>
        <w:spacing w:after="0" w:line="200" w:lineRule="exact"/>
        <w:rPr>
          <w:sz w:val="20"/>
          <w:szCs w:val="20"/>
          <w:color w:val="auto"/>
        </w:rPr>
      </w:pPr>
    </w:p>
    <w:p>
      <w:pPr>
        <w:spacing w:after="0" w:line="224" w:lineRule="exact"/>
        <w:rPr>
          <w:sz w:val="20"/>
          <w:szCs w:val="20"/>
          <w:color w:val="auto"/>
        </w:rPr>
      </w:pPr>
    </w:p>
    <w:p>
      <w:pPr>
        <w:jc w:val="both"/>
        <w:ind w:left="100" w:hanging="647"/>
        <w:spacing w:after="0" w:line="288" w:lineRule="auto"/>
        <w:tabs>
          <w:tab w:leader="none" w:pos="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VOLUNTARY TERMINATION BY EXECUTIVE. Executive may give written notice of Executive’s resignation of employment at any time during this Agreement pursuant to Section 6, and thereafter, all obligations of the Company under this Agreement shall cease; provided the Company shall pay Executive the Accrued Obligations within thirty</w:t>
      </w:r>
    </w:p>
    <w:p>
      <w:pPr>
        <w:spacing w:after="0" w:line="1" w:lineRule="exact"/>
        <w:rPr>
          <w:sz w:val="20"/>
          <w:szCs w:val="20"/>
          <w:color w:val="auto"/>
        </w:rPr>
      </w:pPr>
    </w:p>
    <w:p>
      <w:pPr>
        <w:jc w:val="both"/>
        <w:ind w:left="100" w:firstLine="5"/>
        <w:spacing w:after="0" w:line="244" w:lineRule="auto"/>
        <w:tabs>
          <w:tab w:leader="none" w:pos="545" w:val="left"/>
        </w:tabs>
        <w:numPr>
          <w:ilvl w:val="0"/>
          <w:numId w:val="23"/>
        </w:numPr>
        <w:rPr>
          <w:rFonts w:ascii="Arial" w:cs="Arial" w:eastAsia="Arial" w:hAnsi="Arial"/>
          <w:sz w:val="22"/>
          <w:szCs w:val="22"/>
          <w:color w:val="auto"/>
        </w:rPr>
      </w:pPr>
      <w:r>
        <w:rPr>
          <w:rFonts w:ascii="Arial" w:cs="Arial" w:eastAsia="Arial" w:hAnsi="Arial"/>
          <w:sz w:val="22"/>
          <w:szCs w:val="22"/>
          <w:color w:val="auto"/>
        </w:rPr>
        <w:t>days of the termination of Executive’s employment or earlier as required by law. Executive is requested to provide sixty (60) days’ written notice of Executive’s resignation or as much time as reasonable under the circumstances. Company reserves the right to relieve Executive of Executive’s duties at the Company’s discretion following notice of Executive’s intent to resign.</w:t>
      </w:r>
    </w:p>
    <w:p>
      <w:pPr>
        <w:spacing w:after="0" w:line="200" w:lineRule="exact"/>
        <w:rPr>
          <w:sz w:val="20"/>
          <w:szCs w:val="20"/>
          <w:color w:val="auto"/>
        </w:rPr>
      </w:pPr>
    </w:p>
    <w:p>
      <w:pPr>
        <w:spacing w:after="0" w:line="212" w:lineRule="exact"/>
        <w:rPr>
          <w:sz w:val="20"/>
          <w:szCs w:val="20"/>
          <w:color w:val="auto"/>
        </w:rPr>
      </w:pPr>
    </w:p>
    <w:p>
      <w:pPr>
        <w:jc w:val="both"/>
        <w:ind w:left="100" w:hanging="647"/>
        <w:spacing w:after="0" w:line="258" w:lineRule="auto"/>
        <w:tabs>
          <w:tab w:leader="none" w:pos="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1"/>
          <w:szCs w:val="21"/>
          <w:color w:val="auto"/>
        </w:rPr>
        <w:t>DEATH OR DISABILITY. Executive’s employment hereunder shall automatically terminate upon the death of Executive and may be terminated at the Company’s discretion as a result of Executive’s Disability. “Disability” means Executive’s substantial inability to perform Executive’s essential duties and responsibilities under this Agreement for either 90 consecutive days or a total of 120 days out of 365 consecutive days as a result of a physical or mental illness, injury or impairment, all as determined in good faith by the Company. If Executive’s employment is terminated by the Company due to Executive’s death or Disability, then (i) Executive, or, upon death, to Executive’s designated beneficiary or estate, as applicable, shall be eligible to receive (A) any earned but unpaid Cash Bonus in respect of any completed fiscal year that has ended prior to the date of such termination and (B) a prorated Target Cash Bonus based on the length of performance in the applicable performance period prior to death or Disability and (ii) Executive’s then-outstanding</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591" w:right="239" w:bottom="1440" w:gutter="0" w:footer="0" w:header="0"/>
        </w:sectPr>
      </w:pPr>
    </w:p>
    <w:bookmarkStart w:id="56" w:name="page57"/>
    <w:bookmarkEnd w:id="56"/>
    <w:p>
      <w:pPr>
        <w:jc w:val="both"/>
        <w:ind w:left="100"/>
        <w:spacing w:after="0" w:line="287" w:lineRule="auto"/>
        <w:rPr>
          <w:sz w:val="20"/>
          <w:szCs w:val="20"/>
          <w:color w:val="auto"/>
        </w:rPr>
      </w:pPr>
      <w:r>
        <w:rPr>
          <w:rFonts w:ascii="Arial" w:cs="Arial" w:eastAsia="Arial" w:hAnsi="Arial"/>
          <w:sz w:val="19"/>
          <w:szCs w:val="19"/>
          <w:color w:val="auto"/>
        </w:rPr>
        <w:t>equity-based awards under the Equity Plan (including any awards issued by an acquirer or successor to ABM in exchange or substitution for such awards) (x) that are subject to time-based vesting will not be forfeited but will become immediately fully vested and (y) that are subject to performance-based vesting for then-ongoing performance periods shall immediately become fully vested with respect to the number of shares that would have become earned and vested if the target level of performance was met. In the case of Disability, Executive’s eligibility to receive the foregoing is conditioned on: (i) Executive having first signed a release agreement in the form provided by the Company and reasonably acceptable to Executive, but containing no further post-employment restrictions or covenants other than those to which Executive is already subject hereunder, and the release becoming irrevocable by its terms within sixty (60) calendar days following the date of Executive’s termination of employment; and (ii) Executive’s continued compliance with all continuing obligations under this Agreement, including but not limited to those set forth in Section 5. Thereafter, Executive and Executive’s designated beneficiary or estate, as applicable, shall not have any other rights or claims under this Agreement.</w:t>
      </w:r>
    </w:p>
    <w:p>
      <w:pPr>
        <w:spacing w:after="0" w:line="376" w:lineRule="exact"/>
        <w:rPr>
          <w:sz w:val="20"/>
          <w:szCs w:val="20"/>
          <w:color w:val="auto"/>
        </w:rPr>
      </w:pPr>
    </w:p>
    <w:p>
      <w:pPr>
        <w:jc w:val="both"/>
        <w:ind w:left="100" w:hanging="647"/>
        <w:spacing w:after="0" w:line="258" w:lineRule="auto"/>
        <w:tabs>
          <w:tab w:leader="none" w:pos="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1"/>
          <w:szCs w:val="21"/>
          <w:color w:val="auto"/>
        </w:rPr>
        <w:t>TIMING OF PAYMENTS. For the avoidance of doubt and without limiting the generality of Section 10.7, the parties intend that, except as expressly provided otherwise, any payments that become payable to Executive pursuant to Section 7.2 are intended to be exempt from, or compliant with, Section 409A of the Internal Revenue Code (“Section 409A”), and except as expressly provided otherwise shall be paid within the short-term deferral period within the meaning of Treasury Regulation section 1.409A-1(b)(4) to the extent required to be paid no later than March 15th of the calendar year following the calendar year in which Executive incurs a separation from service or shall be deemed to be paid under a “separation pay plan” within the meaning of Section 409A to the extent applicable. Any Cash Bonus or prorated Cash Bonus that becomes payable to Executive pursuant to Section 7.2(iii) shall be paid to Executive following the end of the applicable performance period when such payments are made to other participants and in accordance with the terms of the applicable plan or program, provided that in no event shall any such payment be made to Executive later than March 15th of the calendar year following the end of the performance year.</w:t>
      </w:r>
    </w:p>
    <w:p>
      <w:pPr>
        <w:spacing w:after="0" w:line="396" w:lineRule="exact"/>
        <w:rPr>
          <w:sz w:val="20"/>
          <w:szCs w:val="20"/>
          <w:color w:val="auto"/>
        </w:rPr>
      </w:pPr>
    </w:p>
    <w:p>
      <w:pPr>
        <w:jc w:val="both"/>
        <w:ind w:left="100" w:hanging="647"/>
        <w:spacing w:after="0" w:line="294" w:lineRule="auto"/>
        <w:tabs>
          <w:tab w:leader="none" w:pos="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color w:val="auto"/>
        </w:rPr>
        <w:t>PAYMENTS AND BENEFITS WITH RESPECT TO A CHANGE IN CONTROL. Notwithstanding anything to the contrary in this Agreement or otherwise, if Executive’s employment is terminated under circumstances qualifying Executive for payments under the Change-in-Control Agreement between Executive and ABM (or any successor or amendment to such agreement, as applicable, the “Change-in-Control Agreement”), Executive shall not be entitled to the Severance Benefits under this Agreement and, alternatively, Executive’s entitlement to payments and benefits, if any, shall be governed by the terms of such Change-in-Control Agreement.</w:t>
      </w:r>
    </w:p>
    <w:p>
      <w:pPr>
        <w:spacing w:after="0" w:line="366" w:lineRule="exact"/>
        <w:rPr>
          <w:sz w:val="20"/>
          <w:szCs w:val="20"/>
          <w:color w:val="auto"/>
        </w:rPr>
      </w:pPr>
    </w:p>
    <w:p>
      <w:pPr>
        <w:jc w:val="both"/>
        <w:ind w:left="100" w:hanging="647"/>
        <w:spacing w:after="0" w:line="248" w:lineRule="auto"/>
        <w:tabs>
          <w:tab w:leader="none" w:pos="8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22"/>
          <w:szCs w:val="22"/>
          <w:color w:val="auto"/>
        </w:rPr>
        <w:t>EXCESS PARACHUTE PAYMENTS. Notwithstanding any provision of this Agreement or any other agreement or plan to the contrary (including without limitation any lesser protection of Executive under any equity-based award agreement), if any amount or benefit to be paid or provided under this Agreement or any other agreement or plan would be an “excess parachute payment” under Section 280G of the Code (an “Excess Parachute Payment”) (including after taking</w:t>
      </w: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0"/>
          </w:cols>
          <w:pgMar w:left="1440" w:top="807" w:right="239" w:bottom="1440" w:gutter="0" w:footer="0" w:header="0"/>
        </w:sectPr>
      </w:pPr>
    </w:p>
    <w:bookmarkStart w:id="57" w:name="page58"/>
    <w:bookmarkEnd w:id="57"/>
    <w:p>
      <w:pPr>
        <w:jc w:val="both"/>
        <w:ind w:left="100"/>
        <w:spacing w:after="0" w:line="284" w:lineRule="auto"/>
        <w:rPr>
          <w:sz w:val="20"/>
          <w:szCs w:val="20"/>
          <w:color w:val="auto"/>
        </w:rPr>
      </w:pPr>
      <w:r>
        <w:rPr>
          <w:rFonts w:ascii="Arial" w:cs="Arial" w:eastAsia="Arial" w:hAnsi="Arial"/>
          <w:sz w:val="19"/>
          <w:szCs w:val="19"/>
          <w:color w:val="auto"/>
        </w:rPr>
        <w:t>into account the value, to the maximum extent permitted by Section 280G of the Code, of the covenants herein), but for the application of this sentence, then the payments and benefits to be paid or provided under this Agreement and any other agreements and plans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amount determined on an after-tax basis, taking into account the excise tax imposed pursuant to Section 4999 of the Code, or any successor provision thereto, any tax imposed by any comparable provision of state law and any applicable federal, state and local income and employment taxes (the “After-Tax Amount”) that is less than 90% of the After-Tax Amount of the payments and benefits that he would have received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herein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will not of itself limit or otherwise affect any other rights of the Executive pursuant to this Agreement or any other agreement or plan. In the event that any payment or benefit intended to be provided is required to be reduced pursuant to this Section, then the Company shall in good faith determine the appropriate treatment of payments or benefits, consistent with the requirements of Section 409A that produces the most advantageous economic outcome for the Executive, and its determination shall be final and binding on the Executive. The Company will provide the Executive with all information reasonably required or requested by the Executive to demonstrate to the Executive that it has complied with the immediately preceding sentence.</w:t>
      </w:r>
    </w:p>
    <w:p>
      <w:pPr>
        <w:spacing w:after="0" w:line="391" w:lineRule="exact"/>
        <w:rPr>
          <w:sz w:val="20"/>
          <w:szCs w:val="20"/>
          <w:color w:val="auto"/>
        </w:rPr>
      </w:pPr>
    </w:p>
    <w:p>
      <w:pPr>
        <w:jc w:val="both"/>
        <w:ind w:left="100" w:hanging="647"/>
        <w:spacing w:after="0" w:line="287" w:lineRule="auto"/>
        <w:tabs>
          <w:tab w:leader="none" w:pos="8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ACTIONS UPON TERMINATION. Upon termination of Executive’s employment for any reason, Executive shall be deemed to have immediately resigned as an officer and/or director of the Company and of any Company subsidiaries or affiliates, including any LLCs or joint ventures, as applicable. Further, if during employment Executive held any membership or position as a representative of the Company for any outside organization (such as BOMA, IREM, IFMA or BSCIA), or as a trustee for a union trust fund (such as a Taft-Hartley or similar fund), upon termination of Executive’s employment for any reason, Executive shall be deemed to have resigned from such membership or position, or trustee position, and shall cooperate fully with the Company in any process whereby the Company designates a new representative to replace the position vacated by Executive. Executive also agrees that all property (including without limitation all equipment, tangible proprietary information, documents, records, notes, contracts and computer-generated materials) furnished to or created or prepared by Executive incident to Executive’s employment with the Company belongs to the Company and shall be promptly returned to the Company upon termination of Executive’s employment.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1440" w:top="807" w:right="239" w:bottom="1440" w:gutter="0" w:footer="0" w:header="0"/>
        </w:sectPr>
      </w:pPr>
    </w:p>
    <w:bookmarkStart w:id="58" w:name="page59"/>
    <w:bookmarkEnd w:id="58"/>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22"/>
          <w:szCs w:val="22"/>
          <w:color w:val="auto"/>
        </w:rPr>
        <w:t>WITHHOLDING AUTHORIZATION. To the fullest extent permitted under the laws of the State of Employment hereunder, Executive authorizes Company to withhold from any Severance Benefits otherwise due to Executive and from any other funds held for Executive’s benefit by Company, any undisputed damages or losses sustained by Company as a result of any material breach or other material violation of this Agreement by Executive, pending resolution of any underlying dispute.</w:t>
      </w:r>
    </w:p>
    <w:p>
      <w:pPr>
        <w:spacing w:after="0" w:line="18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66" w:lineRule="exact"/>
        <w:rPr>
          <w:rFonts w:ascii="Arial" w:cs="Arial" w:eastAsia="Arial" w:hAnsi="Arial"/>
          <w:sz w:val="22"/>
          <w:szCs w:val="22"/>
          <w:b w:val="1"/>
          <w:bCs w:val="1"/>
          <w:color w:val="auto"/>
        </w:rPr>
      </w:pPr>
    </w:p>
    <w:p>
      <w:pPr>
        <w:ind w:left="1300" w:hanging="648"/>
        <w:spacing w:after="0" w:line="312" w:lineRule="auto"/>
        <w:rPr>
          <w:rFonts w:ascii="Arial" w:cs="Arial" w:eastAsia="Arial" w:hAnsi="Arial"/>
          <w:sz w:val="22"/>
          <w:szCs w:val="22"/>
          <w:b w:val="1"/>
          <w:bCs w:val="1"/>
          <w:color w:val="auto"/>
        </w:rPr>
      </w:pPr>
      <w:r>
        <w:rPr>
          <w:rFonts w:ascii="Arial" w:cs="Arial" w:eastAsia="Arial" w:hAnsi="Arial"/>
          <w:sz w:val="19"/>
          <w:szCs w:val="19"/>
          <w:color w:val="auto"/>
        </w:rPr>
        <w:t>8.1 ADDRESSES. Any notice required or permitted to be given pursuant to this Agreement shall be in writing and delivered in person, or sent prepaid by certified mail, overnight express, or electronically to the party named at the address set forth below or at such other address as either party may hereafter designate in writing to the other party:</w:t>
      </w:r>
    </w:p>
    <w:p>
      <w:pPr>
        <w:spacing w:after="0" w:line="174"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Executive:  Address on File</w:t>
      </w:r>
    </w:p>
    <w:p>
      <w:pPr>
        <w:sectPr>
          <w:pgSz w:w="11900" w:h="16838" w:orient="portrait"/>
          <w:cols w:equalWidth="0" w:num="1">
            <w:col w:w="11420"/>
          </w:cols>
          <w:pgMar w:left="240" w:top="807" w:right="239" w:bottom="1440" w:gutter="0" w:footer="0" w:header="0"/>
        </w:sect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Company:</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ABM Industries Incorporated</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One Liberty Plaza, New York, NY 10006</w:t>
      </w:r>
    </w:p>
    <w:p>
      <w:pPr>
        <w:spacing w:after="0" w:line="200" w:lineRule="exact"/>
        <w:rPr>
          <w:sz w:val="20"/>
          <w:szCs w:val="20"/>
          <w:color w:val="auto"/>
        </w:rPr>
      </w:pPr>
    </w:p>
    <w:p>
      <w:pPr>
        <w:sectPr>
          <w:pgSz w:w="11900" w:h="16838" w:orient="portrait"/>
          <w:cols w:equalWidth="0" w:num="2">
            <w:col w:w="1560" w:space="400"/>
            <w:col w:w="9460"/>
          </w:cols>
          <w:pgMar w:left="240" w:top="807" w:right="239" w:bottom="1440" w:gutter="0" w:footer="0" w:header="0"/>
          <w:type w:val="continuous"/>
        </w:sectPr>
      </w:pPr>
    </w:p>
    <w:p>
      <w:pPr>
        <w:spacing w:after="0" w:line="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Copy: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ABM Industries Incorporated</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One Liberty Plaza, New York, NY 10006</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Attention: Chief Human Resources Officer</w:t>
      </w:r>
    </w:p>
    <w:p>
      <w:pPr>
        <w:spacing w:after="0" w:line="200" w:lineRule="exact"/>
        <w:rPr>
          <w:sz w:val="20"/>
          <w:szCs w:val="20"/>
          <w:color w:val="auto"/>
        </w:rPr>
      </w:pPr>
    </w:p>
    <w:p>
      <w:pPr>
        <w:sectPr>
          <w:pgSz w:w="11900" w:h="16838" w:orient="portrait"/>
          <w:cols w:equalWidth="0" w:num="2">
            <w:col w:w="1240" w:space="720"/>
            <w:col w:w="9460"/>
          </w:cols>
          <w:pgMar w:left="240" w:top="807" w:right="239" w:bottom="1440" w:gutter="0" w:footer="0" w:header="0"/>
          <w:type w:val="continuous"/>
        </w:sectPr>
      </w:pPr>
    </w:p>
    <w:p>
      <w:pPr>
        <w:spacing w:after="0" w:line="77"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color w:val="auto"/>
        </w:rPr>
        <w:t>RECEIPT. Any such notice shall be assumed to have been received when delivered in person or 48 hours after being sent in the manner specified above.</w:t>
      </w:r>
    </w:p>
    <w:p>
      <w:pPr>
        <w:spacing w:after="0" w:line="209" w:lineRule="exact"/>
        <w:rPr>
          <w:sz w:val="20"/>
          <w:szCs w:val="20"/>
          <w:color w:val="auto"/>
        </w:rPr>
      </w:pPr>
    </w:p>
    <w:p>
      <w:pPr>
        <w:jc w:val="both"/>
        <w:ind w:left="660" w:hanging="652"/>
        <w:spacing w:after="0" w:line="252" w:lineRule="auto"/>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r>
        <w:rPr>
          <w:rFonts w:ascii="Arial" w:cs="Arial" w:eastAsia="Arial" w:hAnsi="Arial"/>
          <w:sz w:val="22"/>
          <w:szCs w:val="22"/>
          <w:color w:val="auto"/>
        </w:rPr>
        <w:t>. The Company shall indemnify, defend, and hold Executive harmless to the fullest extent</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under the Company’s Articles of Incorporation, Bylaws, or any other operating document. In addition, the Executive shall be included under the Company’s Directors and Officers Liability Insurance Policy. For the avoidance of doubt, this Section 9 shall survive the termination of this Agreement.</w:t>
      </w:r>
    </w:p>
    <w:p>
      <w:pPr>
        <w:spacing w:after="0" w:line="220" w:lineRule="exact"/>
        <w:rPr>
          <w:rFonts w:ascii="Arial" w:cs="Arial" w:eastAsia="Arial" w:hAnsi="Arial"/>
          <w:sz w:val="22"/>
          <w:szCs w:val="22"/>
          <w:b w:val="1"/>
          <w:bCs w:val="1"/>
          <w:color w:val="auto"/>
        </w:rPr>
      </w:pPr>
    </w:p>
    <w:p>
      <w:pPr>
        <w:ind w:left="660" w:hanging="652"/>
        <w:spacing w:after="0"/>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66" w:lineRule="exact"/>
        <w:rPr>
          <w:rFonts w:ascii="Arial" w:cs="Arial" w:eastAsia="Arial" w:hAnsi="Arial"/>
          <w:sz w:val="22"/>
          <w:szCs w:val="22"/>
          <w:b w:val="1"/>
          <w:bCs w:val="1"/>
          <w:color w:val="auto"/>
        </w:rPr>
      </w:pPr>
    </w:p>
    <w:p>
      <w:pPr>
        <w:ind w:left="1300" w:hanging="648"/>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10.1 GOVERNING LAW. This Agreement shall be interpreted and enforced in accordance with the laws of the State of Employment, which, for purposes of this Agreement, shall mean the state of New York.</w:t>
      </w:r>
    </w:p>
    <w:p>
      <w:pPr>
        <w:spacing w:after="0" w:line="215" w:lineRule="exact"/>
        <w:rPr>
          <w:rFonts w:ascii="Arial" w:cs="Arial" w:eastAsia="Arial" w:hAnsi="Arial"/>
          <w:sz w:val="22"/>
          <w:szCs w:val="22"/>
          <w:b w:val="1"/>
          <w:bCs w:val="1"/>
          <w:color w:val="auto"/>
        </w:rPr>
      </w:pPr>
    </w:p>
    <w:p>
      <w:pPr>
        <w:jc w:val="center"/>
        <w:ind w:left="1300" w:hanging="648"/>
        <w:spacing w:after="0" w:line="287" w:lineRule="auto"/>
        <w:rPr>
          <w:rFonts w:ascii="Arial" w:cs="Arial" w:eastAsia="Arial" w:hAnsi="Arial"/>
          <w:sz w:val="22"/>
          <w:szCs w:val="22"/>
          <w:b w:val="1"/>
          <w:bCs w:val="1"/>
          <w:color w:val="auto"/>
        </w:rPr>
      </w:pPr>
      <w:r>
        <w:rPr>
          <w:rFonts w:ascii="Arial" w:cs="Arial" w:eastAsia="Arial" w:hAnsi="Arial"/>
          <w:sz w:val="21"/>
          <w:szCs w:val="21"/>
          <w:color w:val="auto"/>
        </w:rPr>
        <w:t>10.2   NO WAIVER. Failure by either party to enforce any term or condition of this Agreement at any time shall not preclude that party from enforcing that provision, or any other provision of this Agreement, at any later time.</w:t>
      </w:r>
    </w:p>
    <w:p>
      <w:pPr>
        <w:spacing w:after="0" w:line="192" w:lineRule="exact"/>
        <w:rPr>
          <w:rFonts w:ascii="Arial" w:cs="Arial" w:eastAsia="Arial" w:hAnsi="Arial"/>
          <w:sz w:val="22"/>
          <w:szCs w:val="22"/>
          <w:b w:val="1"/>
          <w:bCs w:val="1"/>
          <w:color w:val="auto"/>
        </w:rPr>
      </w:pPr>
    </w:p>
    <w:p>
      <w:pPr>
        <w:ind w:left="1300" w:hanging="648"/>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10.3 SEVERABILITY. It is the desire and intent of the parties that the provisions of this Agreement be enforced to the fullest extent permissible under the law and public policies applied in each jurisdiction in which enforcement is sought. Accordingly, in the event that any provision of this Agreement would be held in any jurisdiction to be invalid, prohibited or unenforceable for any reason, such provision, as to such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7" w:right="239" w:bottom="1440" w:gutter="0" w:footer="0" w:header="0"/>
          <w:type w:val="continuous"/>
        </w:sectPr>
      </w:pPr>
    </w:p>
    <w:bookmarkStart w:id="59" w:name="page60"/>
    <w:bookmarkEnd w:id="59"/>
    <w:p>
      <w:pPr>
        <w:jc w:val="both"/>
        <w:ind w:left="100"/>
        <w:spacing w:after="0" w:line="294" w:lineRule="auto"/>
        <w:rPr>
          <w:sz w:val="20"/>
          <w:szCs w:val="20"/>
          <w:color w:val="auto"/>
        </w:rPr>
      </w:pPr>
      <w:r>
        <w:rPr>
          <w:rFonts w:ascii="Arial" w:cs="Arial" w:eastAsia="Arial" w:hAnsi="Arial"/>
          <w:sz w:val="19"/>
          <w:szCs w:val="19"/>
          <w:color w:val="auto"/>
        </w:rPr>
        <w:t>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 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190" w:lineRule="exact"/>
        <w:rPr>
          <w:sz w:val="20"/>
          <w:szCs w:val="20"/>
          <w:color w:val="auto"/>
        </w:rPr>
      </w:pPr>
    </w:p>
    <w:p>
      <w:pPr>
        <w:jc w:val="both"/>
        <w:ind w:left="100" w:hanging="647"/>
        <w:spacing w:after="0" w:line="253" w:lineRule="auto"/>
        <w:tabs>
          <w:tab w:leader="none" w:pos="80" w:val="left"/>
        </w:tabs>
        <w:rPr>
          <w:sz w:val="20"/>
          <w:szCs w:val="20"/>
          <w:color w:val="auto"/>
        </w:rPr>
      </w:pPr>
      <w:r>
        <w:rPr>
          <w:rFonts w:ascii="Arial" w:cs="Arial" w:eastAsia="Arial" w:hAnsi="Arial"/>
          <w:sz w:val="22"/>
          <w:szCs w:val="22"/>
          <w:color w:val="auto"/>
        </w:rPr>
        <w:t>10.4</w:t>
        <w:tab/>
        <w:t>SURVIVAL. All terms and conditions of this Agreement which by reasonable implication are meant to survive the termination of this Agreement, including but not limited to the provisions of Sections 5.1 - 5.9 of this Agreement, shall remain in full force and effect after the termination of this Agreement.</w:t>
      </w:r>
    </w:p>
    <w:p>
      <w:pPr>
        <w:spacing w:after="0" w:line="226"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10.5</w:t>
        <w:tab/>
        <w:t>SUCCESSORS. This Agreement is binding upon and shall inure to the benefit of the parties’ respective successors, assigns, administrators and legal representatives and Executive’s heirs and executors.</w:t>
      </w:r>
    </w:p>
    <w:p>
      <w:pPr>
        <w:spacing w:after="0" w:line="215" w:lineRule="exact"/>
        <w:rPr>
          <w:sz w:val="20"/>
          <w:szCs w:val="20"/>
          <w:color w:val="auto"/>
        </w:rPr>
      </w:pPr>
    </w:p>
    <w:p>
      <w:pPr>
        <w:jc w:val="both"/>
        <w:ind w:left="100" w:hanging="647"/>
        <w:spacing w:after="0" w:line="288" w:lineRule="auto"/>
        <w:tabs>
          <w:tab w:leader="none" w:pos="8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color w:val="auto"/>
        </w:rPr>
        <w:t>REPRESENTATIONS BY EXECUTIVE. Executive represents and agrees that Executive has carefully read and fully understands all of the provisions of this Agreement, that Executive is voluntarily entering into this Agreement and has been given an opportunity to review all aspects of this Agreement with an attorney, if Executive chooses to do so. Executive understands and agrees that Executive's employment with the Company is at-will and that nothing in this Agreement is intended to create a contract of employment for any fixed or definite term. Executive understands Executive is also now eligible for Severance Benefits to which Executive was not previously entitled and acknowledges the value of such benefits. Executive also represents that Executive will not make any unauthorized use of any confidential or proprietary information of any third party in the performance of Executive’s duties under this Agreement and that Executive is under no obligation to any prior employer or other entity that would preclude or interfere with the full and good faith performance of Executive's obligations hereunder.</w:t>
      </w:r>
    </w:p>
    <w:p>
      <w:pPr>
        <w:spacing w:after="0" w:line="201" w:lineRule="exact"/>
        <w:rPr>
          <w:sz w:val="20"/>
          <w:szCs w:val="20"/>
          <w:color w:val="auto"/>
        </w:rPr>
      </w:pPr>
    </w:p>
    <w:p>
      <w:pPr>
        <w:jc w:val="both"/>
        <w:ind w:left="100" w:hanging="647"/>
        <w:spacing w:after="0" w:line="288" w:lineRule="auto"/>
        <w:tabs>
          <w:tab w:leader="none" w:pos="8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SECTION 409A. Without limiting the generality of Section 7.6, the parties intend for the payments and benefits under this Agreement to be exempt from Section 409A or, if not so exempt, to be paid or provided in a manner which complies with the requirements of such section, and intend that this Agreement shall be construed and administered in accordance with such intention. If any payments or benefits due to Executive hereunder would cause the application of an accelerated or additional tax under Section 409A, such payments or benefits shall be restructured in a mutually agreed upon manner that to the extent possible preserves the economic benefit and original intent thereof but does not cause such an accelerated or additional tax. For purposes of the limitations on nonqualified deferred compensation under Section 409A, each payment of compensation under this Agreement shall be treated as a separate payment of compensation.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w:t>
      </w:r>
    </w:p>
    <w:p>
      <w:pPr>
        <w:spacing w:after="0" w:line="1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591" w:right="239" w:bottom="1440" w:gutter="0" w:footer="0" w:header="0"/>
        </w:sectPr>
      </w:pPr>
    </w:p>
    <w:bookmarkStart w:id="60" w:name="page61"/>
    <w:bookmarkEnd w:id="60"/>
    <w:p>
      <w:pPr>
        <w:jc w:val="both"/>
        <w:ind w:left="100"/>
        <w:spacing w:after="0" w:line="258" w:lineRule="auto"/>
        <w:rPr>
          <w:sz w:val="20"/>
          <w:szCs w:val="20"/>
          <w:color w:val="auto"/>
        </w:rPr>
      </w:pPr>
      <w:r>
        <w:rPr>
          <w:rFonts w:ascii="Arial" w:cs="Arial" w:eastAsia="Arial" w:hAnsi="Arial"/>
          <w:sz w:val="21"/>
          <w:szCs w:val="21"/>
          <w:color w:val="auto"/>
        </w:rPr>
        <w:t>pursuant to this Agreement during the six (6) month period immediately following Executive’s separation from service shall instead be paid on the first business day after the date that is six (6) months following Executive’s termination date (or death, if earlier). In the event that any payment under this Agreement may be made in two calendar years, depending on the timing of execution of a release, such payment shall be made in the later calendar year, to the extent required by Section 409A. Notwithstanding anything to the contrary in this Agreement, all (A) reimbursements and (B) in-kind benefits provided under this Agreement shall be made or provided in accordance with the requirements of Section 409A, including, where applicable, the requirement that (x) 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w:t>
      </w:r>
    </w:p>
    <w:p>
      <w:pPr>
        <w:spacing w:after="0" w:line="221" w:lineRule="exact"/>
        <w:rPr>
          <w:sz w:val="20"/>
          <w:szCs w:val="20"/>
          <w:color w:val="auto"/>
        </w:rPr>
      </w:pPr>
    </w:p>
    <w:p>
      <w:pPr>
        <w:jc w:val="both"/>
        <w:ind w:left="100" w:hanging="647"/>
        <w:spacing w:after="0" w:line="302" w:lineRule="auto"/>
        <w:tabs>
          <w:tab w:leader="none" w:pos="8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color w:val="auto"/>
        </w:rPr>
        <w:t>COUNTERPARTS. This Agreement may be executed in several counterparts, each of which shall be deemed as an original, but all of which together shall constitute one and the same instrument binding on all of the parties hereto, notwithstanding that all of the parties are not signatory to the same counterpart. This Agreement may be executed either by original, facsimile, or electronic copy, each of which will be equally binding.</w:t>
      </w:r>
    </w:p>
    <w:p>
      <w:pPr>
        <w:spacing w:after="0" w:line="183" w:lineRule="exact"/>
        <w:rPr>
          <w:sz w:val="20"/>
          <w:szCs w:val="20"/>
          <w:color w:val="auto"/>
        </w:rPr>
      </w:pPr>
    </w:p>
    <w:p>
      <w:pPr>
        <w:jc w:val="both"/>
        <w:ind w:left="100" w:hanging="647"/>
        <w:spacing w:after="0" w:line="263" w:lineRule="auto"/>
        <w:tabs>
          <w:tab w:leader="none" w:pos="8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21"/>
          <w:szCs w:val="21"/>
          <w:color w:val="auto"/>
        </w:rPr>
        <w:t xml:space="preserve">ENTIRE AGREEMENT. Unless otherwise specified herein, this Agreement, together with Appendix A, sets forth every contract, understanding and arrangement as to the employment relationship between Executive and the Company (other than the Change in Control Agreement and any equity award agreement under the Equity Plan;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the event that this Agreement conflicts with the terms of any equity award agreement,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shall govern unless otherwise expressly stated in such equity award agreement).</w:t>
      </w:r>
    </w:p>
    <w:p>
      <w:pPr>
        <w:spacing w:after="0" w:line="216" w:lineRule="exact"/>
        <w:rPr>
          <w:sz w:val="20"/>
          <w:szCs w:val="20"/>
          <w:color w:val="auto"/>
        </w:rPr>
      </w:pPr>
    </w:p>
    <w:p>
      <w:pPr>
        <w:jc w:val="both"/>
        <w:ind w:left="760" w:hanging="647"/>
        <w:spacing w:after="0" w:line="253" w:lineRule="auto"/>
        <w:rPr>
          <w:sz w:val="20"/>
          <w:szCs w:val="20"/>
          <w:color w:val="auto"/>
        </w:rPr>
      </w:pPr>
      <w:r>
        <w:rPr>
          <w:rFonts w:ascii="Arial" w:cs="Arial" w:eastAsia="Arial" w:hAnsi="Arial"/>
          <w:sz w:val="22"/>
          <w:szCs w:val="22"/>
          <w:color w:val="auto"/>
        </w:rPr>
        <w:t>10.9.a 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226" w:lineRule="exact"/>
        <w:rPr>
          <w:sz w:val="20"/>
          <w:szCs w:val="20"/>
          <w:color w:val="auto"/>
        </w:rPr>
      </w:pPr>
    </w:p>
    <w:p>
      <w:pPr>
        <w:jc w:val="both"/>
        <w:ind w:left="760" w:hanging="647"/>
        <w:spacing w:after="0" w:line="263" w:lineRule="auto"/>
        <w:rPr>
          <w:sz w:val="20"/>
          <w:szCs w:val="20"/>
          <w:color w:val="auto"/>
        </w:rPr>
      </w:pPr>
      <w:r>
        <w:rPr>
          <w:rFonts w:ascii="Arial" w:cs="Arial" w:eastAsia="Arial" w:hAnsi="Arial"/>
          <w:sz w:val="22"/>
          <w:szCs w:val="22"/>
          <w:color w:val="auto"/>
        </w:rPr>
        <w:t>10.9.b AMENDMENTS. This Agreement may not be amended except in a writing signed by the Executive and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20"/>
          </w:cols>
          <w:pgMar w:left="1440" w:top="591" w:right="239" w:bottom="1440" w:gutter="0" w:footer="0" w:header="0"/>
        </w:sectPr>
      </w:pPr>
    </w:p>
    <w:bookmarkStart w:id="61" w:name="page62"/>
    <w:bookmarkEnd w:id="61"/>
    <w:p>
      <w:pPr>
        <w:ind w:right="279" w:hanging="647"/>
        <w:spacing w:after="0" w:line="474"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Executive and Company have executed this Agreement as of the date set forth above.</w:t>
      </w:r>
      <w:r>
        <w:rPr>
          <w:rFonts w:ascii="Arial" w:cs="Arial" w:eastAsia="Arial" w:hAnsi="Arial"/>
          <w:sz w:val="22"/>
          <w:szCs w:val="22"/>
          <w:b w:val="1"/>
          <w:bCs w:val="1"/>
          <w:color w:val="auto"/>
        </w:rPr>
        <w:t xml:space="preserve"> Executive: </w:t>
      </w:r>
      <w:r>
        <w:rPr>
          <w:rFonts w:ascii="Arial" w:cs="Arial" w:eastAsia="Arial" w:hAnsi="Arial"/>
          <w:sz w:val="22"/>
          <w:szCs w:val="22"/>
          <w:color w:val="auto"/>
        </w:rPr>
        <w:t>Andrea Newborn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40"/>
        <w:spacing w:after="0"/>
        <w:tabs>
          <w:tab w:leader="none" w:pos="24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u w:val="single" w:color="auto"/>
          <w:color w:val="auto"/>
        </w:rPr>
        <w:t>/s/ Andrea Newborn</w:t>
      </w:r>
    </w:p>
    <w:p>
      <w:pPr>
        <w:spacing w:after="0" w:line="200" w:lineRule="exact"/>
        <w:rPr>
          <w:sz w:val="20"/>
          <w:szCs w:val="20"/>
          <w:color w:val="auto"/>
        </w:rPr>
      </w:pPr>
    </w:p>
    <w:p>
      <w:pPr>
        <w:spacing w:after="0" w:line="249" w:lineRule="exact"/>
        <w:rPr>
          <w:sz w:val="20"/>
          <w:szCs w:val="20"/>
          <w:color w:val="auto"/>
        </w:rPr>
      </w:pPr>
    </w:p>
    <w:p>
      <w:pPr>
        <w:ind w:left="1340"/>
        <w:spacing w:after="0"/>
        <w:tabs>
          <w:tab w:leader="none" w:pos="22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3/1/2018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19"/>
          <w:szCs w:val="19"/>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u w:val="single" w:color="auto"/>
          <w:color w:val="auto"/>
        </w:rPr>
        <w:t>/s/ David R. Goodes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Name, Title: </w:t>
      </w:r>
      <w:r>
        <w:rPr>
          <w:rFonts w:ascii="Arial" w:cs="Arial" w:eastAsia="Arial" w:hAnsi="Arial"/>
          <w:sz w:val="22"/>
          <w:szCs w:val="22"/>
          <w:u w:val="single" w:color="auto"/>
          <w:color w:val="auto"/>
        </w:rPr>
        <w:t>David R. Goodes,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40"/>
        <w:spacing w:after="0"/>
        <w:tabs>
          <w:tab w:leader="none" w:pos="22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3/1/2018</w:t>
      </w:r>
    </w:p>
    <w:p>
      <w:pPr>
        <w:sectPr>
          <w:pgSz w:w="11900" w:h="16838" w:orient="portrait"/>
          <w:cols w:equalWidth="0" w:num="1">
            <w:col w:w="9559"/>
          </w:cols>
          <w:pgMar w:left="900" w:top="801" w:right="1440" w:bottom="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559"/>
          </w:cols>
          <w:pgMar w:left="900" w:top="801" w:right="1440" w:bottom="14" w:gutter="0" w:footer="0" w:header="0"/>
          <w:type w:val="continuous"/>
        </w:sectPr>
      </w:pPr>
    </w:p>
    <w:bookmarkStart w:id="62" w:name="page63"/>
    <w:bookmarkEnd w:id="62"/>
    <w:p>
      <w:pPr>
        <w:spacing w:after="0"/>
        <w:rPr>
          <w:sz w:val="20"/>
          <w:szCs w:val="20"/>
          <w:color w:val="auto"/>
        </w:rPr>
      </w:pPr>
      <w:r>
        <w:rPr>
          <w:rFonts w:ascii="Arial" w:cs="Arial" w:eastAsia="Arial" w:hAnsi="Arial"/>
          <w:sz w:val="22"/>
          <w:szCs w:val="22"/>
          <w:b w:val="1"/>
          <w:bCs w:val="1"/>
          <w:color w:val="auto"/>
        </w:rPr>
        <w:t>APPENDIX A</w:t>
      </w:r>
    </w:p>
    <w:p>
      <w:pPr>
        <w:spacing w:after="0" w:line="226" w:lineRule="exact"/>
        <w:rPr>
          <w:sz w:val="20"/>
          <w:szCs w:val="20"/>
          <w:color w:val="auto"/>
        </w:rPr>
      </w:pPr>
    </w:p>
    <w:p>
      <w:pPr>
        <w:jc w:val="both"/>
        <w:ind w:left="1300" w:hanging="644"/>
        <w:spacing w:after="0" w:line="283" w:lineRule="auto"/>
        <w:tabs>
          <w:tab w:leader="none" w:pos="13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ASSIGNMENT. Executive hereby assigns, and agrees to assign, to the Company, without additional compensation, Executive’s entire right, title and interest in and to (a) all Creations,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the Company or its affiliates, and that are made, conceived or developed by Executive (either alone or jointly with others), or result from or are suggested by any work performed by Executive (either alone or jointly with others) for or on behalf of the Company or its affiliates: (i) during the period of Executive’s employment with the Company, whether or not made, conceived or developed during regular business hours; or (ii) after termination of Executive’s employment if based on Confidential Information. Executive agrees that all such Creations are the sole property of the Company or any other entity designated by it, and, to the maximum extent permitted by applicable law, any copyrightable Creation will be deemed a work made for hire. If the State of Employment is California, Executive</w:t>
      </w:r>
    </w:p>
    <w:p>
      <w:pPr>
        <w:spacing w:after="0" w:line="1" w:lineRule="exact"/>
        <w:rPr>
          <w:rFonts w:ascii="Arial" w:cs="Arial" w:eastAsia="Arial" w:hAnsi="Arial"/>
          <w:sz w:val="19"/>
          <w:szCs w:val="19"/>
          <w:color w:val="auto"/>
        </w:rPr>
      </w:pPr>
    </w:p>
    <w:p>
      <w:pPr>
        <w:jc w:val="both"/>
        <w:ind w:left="1300"/>
        <w:spacing w:after="0" w:line="244" w:lineRule="auto"/>
        <w:rPr>
          <w:rFonts w:ascii="Arial" w:cs="Arial" w:eastAsia="Arial" w:hAnsi="Arial"/>
          <w:sz w:val="19"/>
          <w:szCs w:val="19"/>
          <w:color w:val="auto"/>
        </w:rPr>
      </w:pPr>
      <w:r>
        <w:rPr>
          <w:rFonts w:ascii="Arial" w:cs="Arial" w:eastAsia="Arial" w:hAnsi="Arial"/>
          <w:sz w:val="22"/>
          <w:szCs w:val="22"/>
          <w:color w:val="auto"/>
        </w:rPr>
        <w:t>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195" w:lineRule="exact"/>
        <w:rPr>
          <w:rFonts w:ascii="Arial" w:cs="Arial" w:eastAsia="Arial" w:hAnsi="Arial"/>
          <w:sz w:val="19"/>
          <w:szCs w:val="19"/>
          <w:color w:val="auto"/>
        </w:rPr>
      </w:pPr>
    </w:p>
    <w:p>
      <w:pPr>
        <w:jc w:val="both"/>
        <w:ind w:left="1300" w:hanging="644"/>
        <w:spacing w:after="0" w:line="259" w:lineRule="auto"/>
        <w:tabs>
          <w:tab w:leader="none" w:pos="1300" w:val="left"/>
        </w:tabs>
        <w:numPr>
          <w:ilvl w:val="0"/>
          <w:numId w:val="26"/>
        </w:numPr>
        <w:rPr>
          <w:rFonts w:ascii="Arial" w:cs="Arial" w:eastAsia="Arial" w:hAnsi="Arial"/>
          <w:sz w:val="21"/>
          <w:szCs w:val="21"/>
          <w:color w:val="auto"/>
        </w:rPr>
      </w:pPr>
      <w:r>
        <w:rPr>
          <w:rFonts w:ascii="Arial" w:cs="Arial" w:eastAsia="Arial" w:hAnsi="Arial"/>
          <w:sz w:val="21"/>
          <w:szCs w:val="21"/>
          <w:color w:val="auto"/>
        </w:rPr>
        <w:t>DISCLOSURE. Executive agrees to disclose promptly and fully to Executive’s immediate supervisor at the Company, and to hold in confidence for the sole right, benefit and use of Company, any and all Creations made, conceived or developed by Executive (either alone or jointly with others) during Executive’s employment with the Company, or within one (1) year after the termination of Executive’s employment if based on Confidential Information. Such disclosure will be received and held in confidence by the Company. In addition, Executive agrees to keep and maintain adequate and current written records on the development of all Creations made, conceived or developed by Executive (either alone or jointly with others) during Executive’s period of employment or during the one-year period following termination of Executive’s employment, which records will be available to and remain the sole property of the Company at all times.</w:t>
      </w:r>
    </w:p>
    <w:p>
      <w:pPr>
        <w:spacing w:after="0" w:line="180" w:lineRule="exact"/>
        <w:rPr>
          <w:rFonts w:ascii="Arial" w:cs="Arial" w:eastAsia="Arial" w:hAnsi="Arial"/>
          <w:sz w:val="21"/>
          <w:szCs w:val="21"/>
          <w:color w:val="auto"/>
        </w:rPr>
      </w:pPr>
    </w:p>
    <w:p>
      <w:pPr>
        <w:jc w:val="both"/>
        <w:ind w:left="1300" w:hanging="644"/>
        <w:spacing w:after="0" w:line="271" w:lineRule="auto"/>
        <w:tabs>
          <w:tab w:leader="none" w:pos="130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ASSIST WITH REGISTRATION. Executive agrees that Executive will, at the Company’s request, promptly execute a written assignment of title for any Creation required to be assigned by Section B. Executive further agrees to perform, during and after Executive’s employment, all acts deemed necessary or desirable by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5" w:right="239" w:bottom="1440" w:gutter="0" w:footer="0" w:header="0"/>
        </w:sectPr>
      </w:pPr>
    </w:p>
    <w:bookmarkStart w:id="63" w:name="page64"/>
    <w:bookmarkEnd w:id="63"/>
    <w:p>
      <w:pPr>
        <w:jc w:val="both"/>
        <w:ind w:left="1300"/>
        <w:spacing w:after="0" w:line="287" w:lineRule="auto"/>
        <w:rPr>
          <w:sz w:val="20"/>
          <w:szCs w:val="20"/>
          <w:color w:val="auto"/>
        </w:rPr>
      </w:pPr>
      <w:r>
        <w:rPr>
          <w:rFonts w:ascii="Arial" w:cs="Arial" w:eastAsia="Arial" w:hAnsi="Arial"/>
          <w:sz w:val="19"/>
          <w:szCs w:val="19"/>
          <w:color w:val="auto"/>
        </w:rPr>
        <w:t>Company to assist it (at its expense) in obtaining and enforcing the full benefits, enjoyment, rights and title throughout the world in the Creation assigned to the Company pursuant to Section B. Such acts may include, but are not limited to, execution of documents and assistance or cooperation in legal proceedings. Should the Company be unable to secure Executive’s signature on any document necessary to apply for, prosecute, obtain, or enforce any patent, copyright, or other right or protection relating to any Creation, whether due to Executive’s mental or physical incapacity or any other cause, Executive hereby irrevocably designates and appoints the Company and each of its duly authorized officers and agents as Executive’s agent and attorney-in-fact, to undertake such acts in Executive’s name as if executed and delivered by Executive, and Executive waives and quitclaims to the Company any and all claims of any nature whatsoever that Executive may not have or may later have for infringement of any intellectual property rights in the Creations. The Company will compensate Executive at a reasonable rate for time actually spent by Executive at the Company’s request on such assistance at any time following termination of Executive’s employment with the Company.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CALIFORNIA LABOR CODE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2870-2872</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80" w:lineRule="exact"/>
        <w:rPr>
          <w:sz w:val="20"/>
          <w:szCs w:val="20"/>
          <w:color w:val="auto"/>
        </w:rPr>
      </w:pPr>
    </w:p>
    <w:p>
      <w:pPr>
        <w:ind w:left="660" w:hanging="652"/>
        <w:spacing w:after="0" w:line="26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215" w:lineRule="exact"/>
        <w:rPr>
          <w:rFonts w:ascii="Arial" w:cs="Arial" w:eastAsia="Arial" w:hAnsi="Arial"/>
          <w:sz w:val="22"/>
          <w:szCs w:val="22"/>
          <w:color w:val="auto"/>
        </w:rPr>
      </w:pPr>
    </w:p>
    <w:p>
      <w:pPr>
        <w:ind w:left="660" w:hanging="652"/>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the employer.</w:t>
      </w:r>
    </w:p>
    <w:p>
      <w:pPr>
        <w:spacing w:after="0" w:line="260" w:lineRule="exact"/>
        <w:rPr>
          <w:sz w:val="20"/>
          <w:szCs w:val="20"/>
          <w:color w:val="auto"/>
        </w:rPr>
      </w:pPr>
    </w:p>
    <w:p>
      <w:pPr>
        <w:jc w:val="both"/>
        <w:ind w:firstLine="8"/>
        <w:spacing w:after="0" w:line="253" w:lineRule="auto"/>
        <w:tabs>
          <w:tab w:leader="none" w:pos="3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64" w:name="page65"/>
    <w:bookmarkEnd w:id="64"/>
    <w:p>
      <w:pPr>
        <w:spacing w:after="0" w:line="263" w:lineRule="auto"/>
        <w:rPr>
          <w:sz w:val="20"/>
          <w:szCs w:val="20"/>
          <w:color w:val="auto"/>
        </w:rPr>
      </w:pPr>
      <w:r>
        <w:rPr>
          <w:rFonts w:ascii="Arial" w:cs="Arial" w:eastAsia="Arial" w:hAnsi="Arial"/>
          <w:sz w:val="22"/>
          <w:szCs w:val="22"/>
          <w:color w:val="auto"/>
        </w:rPr>
        <w:t>provisions of Section 2870. In any suit or action arising thereunder, the burden of proof shall be on the employee claiming the benefits of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200" w:lineRule="exact"/>
        <w:rPr>
          <w:sz w:val="20"/>
          <w:szCs w:val="20"/>
          <w:color w:val="auto"/>
        </w:rPr>
      </w:pPr>
    </w:p>
    <w:p>
      <w:pPr>
        <w:spacing w:after="0" w:line="242" w:lineRule="exact"/>
        <w:rPr>
          <w:sz w:val="20"/>
          <w:szCs w:val="20"/>
          <w:color w:val="auto"/>
        </w:rPr>
      </w:pPr>
    </w:p>
    <w:p>
      <w:pPr>
        <w:ind w:right="100" w:firstLine="1297"/>
        <w:spacing w:after="0" w:line="302" w:lineRule="auto"/>
        <w:rPr>
          <w:sz w:val="20"/>
          <w:szCs w:val="20"/>
          <w:color w:val="auto"/>
        </w:rPr>
      </w:pPr>
      <w:r>
        <w:rPr>
          <w:rFonts w:ascii="Arial" w:cs="Arial" w:eastAsia="Arial" w:hAnsi="Arial"/>
          <w:sz w:val="19"/>
          <w:szCs w:val="19"/>
          <w:color w:val="auto"/>
        </w:rPr>
        <w:t>Change in Control Agreement (this “Agreement”), effective as of March 1, 2018, is made between ABM Industries Incorporated, a Delaware corporation (the “Company”) and the individual executing this Agreement as the Executive on the signature page (the “Executive”). This Agreement amends and restates the Change in Control Agreement dated effective as of July 5, 2017 and supersedes any other prior Change in Control Agreement between Executive and the Company.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880" w:firstLine="656"/>
        <w:spacing w:after="0" w:line="287" w:lineRule="auto"/>
        <w:tabs>
          <w:tab w:leader="none" w:pos="1071"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Executive is a senior executive of the Company and has made and is expected to continue to make major contributions to the short- and long-term profitability, growth and financial strength of the Company;</w:t>
      </w:r>
    </w:p>
    <w:p>
      <w:pPr>
        <w:spacing w:after="0" w:line="151" w:lineRule="exact"/>
        <w:rPr>
          <w:rFonts w:ascii="Arial" w:cs="Arial" w:eastAsia="Arial" w:hAnsi="Arial"/>
          <w:sz w:val="21"/>
          <w:szCs w:val="21"/>
          <w:color w:val="auto"/>
        </w:rPr>
      </w:pPr>
    </w:p>
    <w:p>
      <w:pPr>
        <w:ind w:right="280" w:firstLine="656"/>
        <w:spacing w:after="0" w:line="250" w:lineRule="auto"/>
        <w:tabs>
          <w:tab w:leader="none" w:pos="1059"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recognizes that the possibility of a Change in Control, as hereinafter defined, exists and that such possibility, and the uncertainty it may create among management, may result in the distraction or departure of management personnel, to the detriment of the Company and its stockholders, including a reduction of the value received by stockholders in a Change in Control transaction;</w:t>
      </w:r>
    </w:p>
    <w:p>
      <w:pPr>
        <w:spacing w:after="0" w:line="188" w:lineRule="exact"/>
        <w:rPr>
          <w:rFonts w:ascii="Arial" w:cs="Arial" w:eastAsia="Arial" w:hAnsi="Arial"/>
          <w:sz w:val="22"/>
          <w:szCs w:val="22"/>
          <w:color w:val="auto"/>
        </w:rPr>
      </w:pPr>
    </w:p>
    <w:p>
      <w:pPr>
        <w:ind w:right="160" w:firstLine="656"/>
        <w:spacing w:after="0" w:line="343" w:lineRule="auto"/>
        <w:tabs>
          <w:tab w:leader="none" w:pos="1059"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desires to assure itself of both present and future continuity of management and to establish fixed severance benefits for certain of its senior executives, including the Executive, applicable in the event of a Change in Control; and</w:t>
      </w:r>
    </w:p>
    <w:p>
      <w:pPr>
        <w:spacing w:after="0" w:line="104" w:lineRule="exact"/>
        <w:rPr>
          <w:rFonts w:ascii="Arial" w:cs="Arial" w:eastAsia="Arial" w:hAnsi="Arial"/>
          <w:sz w:val="19"/>
          <w:szCs w:val="19"/>
          <w:color w:val="auto"/>
        </w:rPr>
      </w:pPr>
    </w:p>
    <w:p>
      <w:pPr>
        <w:ind w:right="300" w:firstLine="656"/>
        <w:spacing w:after="0" w:line="263" w:lineRule="auto"/>
        <w:tabs>
          <w:tab w:leader="none" w:pos="1071"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desires to provide additional inducement for the Executive to continue to remain in the employ of the Company. Accordingly, the Company and the Executive agree as follows:</w:t>
      </w:r>
    </w:p>
    <w:p>
      <w:pPr>
        <w:spacing w:after="0" w:line="174" w:lineRule="exact"/>
        <w:rPr>
          <w:rFonts w:ascii="Arial" w:cs="Arial" w:eastAsia="Arial" w:hAnsi="Arial"/>
          <w:sz w:val="22"/>
          <w:szCs w:val="22"/>
          <w:color w:val="auto"/>
        </w:rPr>
      </w:pPr>
    </w:p>
    <w:p>
      <w:pPr>
        <w:ind w:left="1960" w:right="880" w:hanging="655"/>
        <w:spacing w:after="0" w:line="287" w:lineRule="auto"/>
        <w:tabs>
          <w:tab w:leader="none" w:pos="1960"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Certain Defined Terms.</w:t>
      </w:r>
      <w:r>
        <w:rPr>
          <w:rFonts w:ascii="Arial" w:cs="Arial" w:eastAsia="Arial" w:hAnsi="Arial"/>
          <w:sz w:val="21"/>
          <w:szCs w:val="21"/>
          <w:color w:val="auto"/>
        </w:rPr>
        <w:t xml:space="preserve"> In addition to terms defined elsewhere herein, the following terms have the following meanings when used in this Agreement with initial capital letters:</w:t>
      </w:r>
    </w:p>
    <w:p>
      <w:pPr>
        <w:spacing w:after="0" w:line="192" w:lineRule="exact"/>
        <w:rPr>
          <w:rFonts w:ascii="Arial" w:cs="Arial" w:eastAsia="Arial" w:hAnsi="Arial"/>
          <w:sz w:val="21"/>
          <w:szCs w:val="21"/>
          <w:color w:val="auto"/>
        </w:rPr>
      </w:pPr>
    </w:p>
    <w:p>
      <w:pPr>
        <w:jc w:val="both"/>
        <w:ind w:left="660" w:right="100" w:firstLine="1293"/>
        <w:spacing w:after="0" w:line="312" w:lineRule="auto"/>
        <w:tabs>
          <w:tab w:leader="none" w:pos="2845" w:val="left"/>
        </w:tabs>
        <w:numPr>
          <w:ilvl w:val="2"/>
          <w:numId w:val="29"/>
        </w:numPr>
        <w:rPr>
          <w:rFonts w:ascii="Arial" w:cs="Arial" w:eastAsia="Arial" w:hAnsi="Arial"/>
          <w:sz w:val="19"/>
          <w:szCs w:val="19"/>
          <w:color w:val="auto"/>
        </w:rPr>
      </w:pPr>
      <w:r>
        <w:rPr>
          <w:rFonts w:ascii="Arial" w:cs="Arial" w:eastAsia="Arial" w:hAnsi="Arial"/>
          <w:sz w:val="19"/>
          <w:szCs w:val="19"/>
          <w:color w:val="auto"/>
        </w:rPr>
        <w:t>“After-Tax Amount” means the amount to be received by an Executive determined on an after-tax basis taking into account the excise tax imposed pursuant to Section 4999 of the Code, any tax imposed by any comparable provision of state law and any applicable federal, state and local income and employment taxes.</w:t>
      </w:r>
    </w:p>
    <w:p>
      <w:pPr>
        <w:spacing w:after="0" w:line="174" w:lineRule="exact"/>
        <w:rPr>
          <w:rFonts w:ascii="Arial" w:cs="Arial" w:eastAsia="Arial" w:hAnsi="Arial"/>
          <w:sz w:val="19"/>
          <w:szCs w:val="19"/>
          <w:color w:val="auto"/>
        </w:rPr>
      </w:pPr>
    </w:p>
    <w:p>
      <w:pPr>
        <w:ind w:firstLine="1953"/>
        <w:spacing w:after="0" w:line="263" w:lineRule="auto"/>
        <w:tabs>
          <w:tab w:leader="none" w:pos="2845" w:val="left"/>
        </w:tabs>
        <w:numPr>
          <w:ilvl w:val="2"/>
          <w:numId w:val="29"/>
        </w:numPr>
        <w:rPr>
          <w:rFonts w:ascii="Arial" w:cs="Arial" w:eastAsia="Arial" w:hAnsi="Arial"/>
          <w:sz w:val="22"/>
          <w:szCs w:val="22"/>
          <w:color w:val="auto"/>
        </w:rPr>
      </w:pPr>
      <w:r>
        <w:rPr>
          <w:rFonts w:ascii="Arial" w:cs="Arial" w:eastAsia="Arial" w:hAnsi="Arial"/>
          <w:sz w:val="22"/>
          <w:szCs w:val="22"/>
          <w:color w:val="auto"/>
        </w:rPr>
        <w:t>“Base Pay” means the Executive’s annual base salary rate as in effect at the time a determination is required to be made under Section 4.</w:t>
      </w:r>
    </w:p>
    <w:p>
      <w:pPr>
        <w:spacing w:after="0" w:line="215" w:lineRule="exact"/>
        <w:rPr>
          <w:rFonts w:ascii="Arial" w:cs="Arial" w:eastAsia="Arial" w:hAnsi="Arial"/>
          <w:sz w:val="22"/>
          <w:szCs w:val="22"/>
          <w:color w:val="auto"/>
        </w:rPr>
      </w:pPr>
    </w:p>
    <w:p>
      <w:pPr>
        <w:ind w:right="240" w:firstLine="1953"/>
        <w:spacing w:after="0" w:line="247" w:lineRule="auto"/>
        <w:tabs>
          <w:tab w:leader="none" w:pos="2833" w:val="left"/>
        </w:tabs>
        <w:numPr>
          <w:ilvl w:val="2"/>
          <w:numId w:val="29"/>
        </w:numPr>
        <w:rPr>
          <w:rFonts w:ascii="Arial" w:cs="Arial" w:eastAsia="Arial" w:hAnsi="Arial"/>
          <w:sz w:val="22"/>
          <w:szCs w:val="22"/>
          <w:color w:val="auto"/>
        </w:rPr>
      </w:pPr>
      <w:r>
        <w:rPr>
          <w:rFonts w:ascii="Arial" w:cs="Arial" w:eastAsia="Arial" w:hAnsi="Arial"/>
          <w:sz w:val="22"/>
          <w:szCs w:val="22"/>
          <w:color w:val="auto"/>
        </w:rPr>
        <w:t>“Board” means the Board of Directors of the Company; any action of the Board herein contemplated will be valid if adopted by a majority of the total number of directors then in office or a majority of the Incumbent Directors and, for purposes of interpreting, amending or waiving any portion of this Agreement, may be adopted by a majority of the Incumbent Directors by written action, whether or not unanimous, or may be delegated by specific action of the Board of Directors after the date hereof to any directorate committee comprised solely of Incumbent Directors who are also Independent Directors.</w:t>
      </w:r>
    </w:p>
    <w:p>
      <w:pPr>
        <w:sectPr>
          <w:pgSz w:w="11900" w:h="16838" w:orient="portrait"/>
          <w:cols w:equalWidth="0" w:num="1">
            <w:col w:w="11420"/>
          </w:cols>
          <w:pgMar w:left="240" w:top="369" w:right="239" w:bottom="1440" w:gutter="0" w:footer="0" w:header="0"/>
        </w:sectPr>
      </w:pPr>
    </w:p>
    <w:bookmarkStart w:id="66" w:name="page67"/>
    <w:bookmarkEnd w:id="66"/>
    <w:p>
      <w:pPr>
        <w:ind w:left="-20" w:right="20" w:firstLine="1953"/>
        <w:spacing w:after="0" w:line="286" w:lineRule="auto"/>
        <w:tabs>
          <w:tab w:leader="none" w:pos="2825" w:val="left"/>
        </w:tabs>
        <w:numPr>
          <w:ilvl w:val="0"/>
          <w:numId w:val="30"/>
        </w:numPr>
        <w:rPr>
          <w:rFonts w:ascii="Arial" w:cs="Arial" w:eastAsia="Arial" w:hAnsi="Arial"/>
          <w:sz w:val="19"/>
          <w:szCs w:val="19"/>
          <w:color w:val="auto"/>
        </w:rPr>
      </w:pPr>
      <w:r>
        <w:rPr>
          <w:rFonts w:ascii="Arial" w:cs="Arial" w:eastAsia="Arial" w:hAnsi="Arial"/>
          <w:sz w:val="19"/>
          <w:szCs w:val="19"/>
          <w:color w:val="auto"/>
        </w:rPr>
        <w:t>“Cause” shall mean, with respect to the Executive: (i) the willful and continued failure to substantially perform the Executive’s duties and responsibilities for reasons other than death or disability, after a written demand for substantial performance is delivered to him/her by the Company which specifically identifies the manner in which the Company believes that the Executive has not substantially performed the Executive’s duties; (ii) the Executive’s conviction (or entry of a plea bargain admitting criminal guilt) of any felony or a misdemeanor involving moral turpitude; (iii) intentional breach by the Executive of his/her fiduciary obligations to the Company or any securities laws applicable to the Company for which Executive has direct responsibility and of which he was not acting under instructions of the Board or under the belief, based on advice of Company counsel, that his conduct was appropriate; or (iv) intentional wrongful engagement by the Executive in any Competitive Activity; and, for purposes of this subsection (iv), any such act shall have been demonstrably and materially harmful to the Company. For purposes of this Agreement, no act or failure to act on the part of the Executive will be deemed “intentional” if it was due primarily to an error in judgment or negligence, but will be deemed “intentional” only if done or omitted to be done by the Executive not in good faith and without reasonable belief that the Executive’s action or omission was in the best interest of the Company. No Cause shall exist until the Company has given Executive written notice describing the circumstances giving rise to Cause in reasonable detail and, to the extent such circumstances are susceptible to remedy, Executive has failed to remedy such circumstances within fifteen (15) days of receiving such notice.</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left="-20" w:right="200" w:firstLine="1953"/>
        <w:spacing w:after="0" w:line="343" w:lineRule="auto"/>
        <w:tabs>
          <w:tab w:leader="none" w:pos="2813"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“Change in Control” means that any of the following events occurs;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occurrence of such event constitutes a “change in effective ownership or control” of the Company, as defined in Section 409A:</w:t>
      </w:r>
    </w:p>
    <w:p>
      <w:pPr>
        <w:spacing w:after="0" w:line="145" w:lineRule="exact"/>
        <w:rPr>
          <w:sz w:val="20"/>
          <w:szCs w:val="20"/>
          <w:color w:val="auto"/>
        </w:rPr>
      </w:pPr>
    </w:p>
    <w:p>
      <w:pPr>
        <w:ind w:left="-20" w:firstLine="1953"/>
        <w:spacing w:after="0" w:line="247" w:lineRule="auto"/>
        <w:tabs>
          <w:tab w:leader="none" w:pos="2777"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after either such event, individuals who were members of the Board immediately prior to either such event cease to constitute a majority of the members of the Board; or</w:t>
      </w:r>
    </w:p>
    <w:p>
      <w:pPr>
        <w:spacing w:after="0" w:line="234" w:lineRule="exact"/>
        <w:rPr>
          <w:rFonts w:ascii="Arial" w:cs="Arial" w:eastAsia="Arial" w:hAnsi="Arial"/>
          <w:sz w:val="22"/>
          <w:szCs w:val="22"/>
          <w:color w:val="auto"/>
        </w:rPr>
      </w:pPr>
    </w:p>
    <w:p>
      <w:pPr>
        <w:ind w:left="2840" w:hanging="907"/>
        <w:spacing w:after="0"/>
        <w:tabs>
          <w:tab w:leader="none" w:pos="28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majority of the Board ceases to be comprised of Incumbent Directors; or</w:t>
      </w:r>
    </w:p>
    <w:p>
      <w:pPr>
        <w:spacing w:after="0" w:line="260" w:lineRule="exact"/>
        <w:rPr>
          <w:rFonts w:ascii="Arial" w:cs="Arial" w:eastAsia="Arial" w:hAnsi="Arial"/>
          <w:sz w:val="22"/>
          <w:szCs w:val="22"/>
          <w:color w:val="auto"/>
        </w:rPr>
      </w:pPr>
    </w:p>
    <w:p>
      <w:pPr>
        <w:ind w:left="-20" w:right="60" w:firstLine="1953"/>
        <w:spacing w:after="0" w:line="292" w:lineRule="auto"/>
        <w:tabs>
          <w:tab w:leader="none" w:pos="2897"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resulting entity, the Company) and (B) at least one-half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847" w:right="239" w:bottom="1440" w:gutter="0" w:footer="0" w:header="0"/>
        </w:sectPr>
      </w:pPr>
    </w:p>
    <w:bookmarkStart w:id="67" w:name="page68"/>
    <w:bookmarkEnd w:id="67"/>
    <w:p>
      <w:pPr>
        <w:ind w:right="240"/>
        <w:spacing w:after="0" w:line="263" w:lineRule="auto"/>
        <w:rPr>
          <w:sz w:val="20"/>
          <w:szCs w:val="20"/>
          <w:color w:val="auto"/>
        </w:rPr>
      </w:pPr>
      <w:r>
        <w:rPr>
          <w:rFonts w:ascii="Arial" w:cs="Arial" w:eastAsia="Arial" w:hAnsi="Arial"/>
          <w:sz w:val="22"/>
          <w:szCs w:val="22"/>
          <w:color w:val="auto"/>
        </w:rPr>
        <w:t>members of the board of directors of the entity resulting from such Business Transaction were Incumbent Directors at the time of the execution of the initial agreement providing for such Business Transaction.</w:t>
      </w:r>
    </w:p>
    <w:p>
      <w:pPr>
        <w:spacing w:after="0" w:line="215" w:lineRule="exact"/>
        <w:rPr>
          <w:sz w:val="20"/>
          <w:szCs w:val="20"/>
          <w:color w:val="auto"/>
        </w:rPr>
      </w:pPr>
    </w:p>
    <w:p>
      <w:pPr>
        <w:ind w:left="2820" w:hanging="867"/>
        <w:spacing w:after="0"/>
        <w:tabs>
          <w:tab w:leader="none" w:pos="28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60" w:lineRule="exact"/>
        <w:rPr>
          <w:rFonts w:ascii="Arial" w:cs="Arial" w:eastAsia="Arial" w:hAnsi="Arial"/>
          <w:sz w:val="22"/>
          <w:szCs w:val="22"/>
          <w:color w:val="auto"/>
        </w:rPr>
      </w:pPr>
    </w:p>
    <w:p>
      <w:pPr>
        <w:ind w:right="40" w:firstLine="1953"/>
        <w:spacing w:after="0" w:line="289" w:lineRule="auto"/>
        <w:tabs>
          <w:tab w:leader="none" w:pos="2845"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“Competitive Activity” means the Executive’s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198" w:lineRule="exact"/>
        <w:rPr>
          <w:rFonts w:ascii="Arial" w:cs="Arial" w:eastAsia="Arial" w:hAnsi="Arial"/>
          <w:sz w:val="19"/>
          <w:szCs w:val="19"/>
          <w:color w:val="auto"/>
        </w:rPr>
      </w:pPr>
    </w:p>
    <w:p>
      <w:pPr>
        <w:ind w:firstLine="1953"/>
        <w:spacing w:after="0" w:line="289" w:lineRule="auto"/>
        <w:tabs>
          <w:tab w:leader="none" w:pos="2845" w:val="left"/>
        </w:tabs>
        <w:numPr>
          <w:ilvl w:val="0"/>
          <w:numId w:val="32"/>
        </w:numPr>
        <w:rPr>
          <w:rFonts w:ascii="Arial" w:cs="Arial" w:eastAsia="Arial" w:hAnsi="Arial"/>
          <w:sz w:val="19"/>
          <w:szCs w:val="19"/>
          <w:color w:val="auto"/>
        </w:rPr>
      </w:pPr>
      <w:r>
        <w:rPr>
          <w:rFonts w:ascii="Arial" w:cs="Arial" w:eastAsia="Arial" w:hAnsi="Arial"/>
          <w:sz w:val="19"/>
          <w:szCs w:val="19"/>
          <w:color w:val="auto"/>
        </w:rPr>
        <w:t>“Employee Benefits” means the benefits and service credit for benefits as provided under any and all employee retirement income and welfare benefit policies, plans, programs or arrangements in which the Executive is entitled to participate, including without limitation any stock option, performance share, performance unit, stock purchase, stock appreciation, savings, pension, supplemental executive retirement, or other retirement income or welfare benefit, deferred compensation, incentive compensation, group or other life, health, medical/hospital or other insurance (whether funded by actual insurance or self-insured by the Company or a Subsidiary), disability, salary continuation, expense reimbursement and other employee benefit policies, plans, programs or arrangements that may now exist or any equivalent successor policies, plans, programs or arrangements that may be adopted hereafter by the Company or a Subsidiary, providing benefits and service credit for benefits at least as great in the aggregate as are payable thereunder immediately prior to a Change in Control.</w:t>
      </w:r>
    </w:p>
    <w:p>
      <w:pPr>
        <w:spacing w:after="0" w:line="198" w:lineRule="exact"/>
        <w:rPr>
          <w:rFonts w:ascii="Arial" w:cs="Arial" w:eastAsia="Arial" w:hAnsi="Arial"/>
          <w:sz w:val="19"/>
          <w:szCs w:val="19"/>
          <w:color w:val="auto"/>
        </w:rPr>
      </w:pPr>
    </w:p>
    <w:p>
      <w:pPr>
        <w:ind w:left="2800" w:hanging="847"/>
        <w:spacing w:after="0"/>
        <w:tabs>
          <w:tab w:leader="none" w:pos="28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“ERISA” means the Employee Retirement Income Security Act of 1976, as amended</w:t>
      </w:r>
    </w:p>
    <w:p>
      <w:pPr>
        <w:spacing w:after="0" w:line="21" w:lineRule="exact"/>
        <w:rPr>
          <w:rFonts w:ascii="Arial" w:cs="Arial" w:eastAsia="Arial" w:hAnsi="Arial"/>
          <w:sz w:val="22"/>
          <w:szCs w:val="22"/>
          <w:color w:val="auto"/>
        </w:rPr>
      </w:pPr>
    </w:p>
    <w:p>
      <w:pPr>
        <w:ind w:right="520" w:firstLine="1953"/>
        <w:spacing w:after="0" w:line="246" w:lineRule="auto"/>
        <w:tabs>
          <w:tab w:leader="none" w:pos="2797"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“Excess Parachute Payment” means a payment that creates an obligation for Executive to pay excise taxes under Section 280G of the Code.</w:t>
      </w:r>
    </w:p>
    <w:p>
      <w:pPr>
        <w:spacing w:after="0" w:line="233" w:lineRule="exact"/>
        <w:rPr>
          <w:rFonts w:ascii="Arial" w:cs="Arial" w:eastAsia="Arial" w:hAnsi="Arial"/>
          <w:sz w:val="22"/>
          <w:szCs w:val="22"/>
          <w:color w:val="auto"/>
        </w:rPr>
      </w:pPr>
    </w:p>
    <w:p>
      <w:pPr>
        <w:ind w:left="2860" w:hanging="907"/>
        <w:spacing w:after="0"/>
        <w:tabs>
          <w:tab w:leader="none" w:pos="28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w:t>
      </w:r>
    </w:p>
    <w:p>
      <w:pPr>
        <w:spacing w:after="0" w:line="260" w:lineRule="exact"/>
        <w:rPr>
          <w:rFonts w:ascii="Arial" w:cs="Arial" w:eastAsia="Arial" w:hAnsi="Arial"/>
          <w:sz w:val="22"/>
          <w:szCs w:val="22"/>
          <w:color w:val="auto"/>
        </w:rPr>
      </w:pPr>
    </w:p>
    <w:p>
      <w:pPr>
        <w:ind w:right="860" w:firstLine="1953"/>
        <w:spacing w:after="0" w:line="251" w:lineRule="auto"/>
        <w:tabs>
          <w:tab w:leader="none" w:pos="2797" w:val="left"/>
        </w:tabs>
        <w:numPr>
          <w:ilvl w:val="0"/>
          <w:numId w:val="32"/>
        </w:numPr>
        <w:rPr>
          <w:rFonts w:ascii="Arial" w:cs="Arial" w:eastAsia="Arial" w:hAnsi="Arial"/>
          <w:sz w:val="22"/>
          <w:szCs w:val="22"/>
          <w:color w:val="auto"/>
        </w:rPr>
      </w:pPr>
      <w:r>
        <w:rPr>
          <w:rFonts w:ascii="Arial" w:cs="Arial" w:eastAsia="Arial" w:hAnsi="Arial"/>
          <w:sz w:val="22"/>
          <w:szCs w:val="22"/>
          <w:color w:val="auto"/>
        </w:rPr>
        <w:t>“Good Reason” means the occurrence of one or more of the following events, without the Executive’s prior written consent:</w:t>
      </w:r>
    </w:p>
    <w:p>
      <w:pPr>
        <w:spacing w:after="0" w:line="2" w:lineRule="exact"/>
        <w:rPr>
          <w:sz w:val="20"/>
          <w:szCs w:val="20"/>
          <w:color w:val="auto"/>
        </w:rPr>
      </w:pPr>
    </w:p>
    <w:p>
      <w:pPr>
        <w:ind w:right="40" w:firstLine="1953"/>
        <w:spacing w:after="0" w:line="262" w:lineRule="auto"/>
        <w:tabs>
          <w:tab w:leader="none" w:pos="2797" w:val="left"/>
        </w:tabs>
        <w:numPr>
          <w:ilvl w:val="0"/>
          <w:numId w:val="33"/>
        </w:numPr>
        <w:rPr>
          <w:rFonts w:ascii="Arial" w:cs="Arial" w:eastAsia="Arial" w:hAnsi="Arial"/>
          <w:sz w:val="21"/>
          <w:szCs w:val="21"/>
          <w:color w:val="auto"/>
        </w:rPr>
      </w:pPr>
      <w:r>
        <w:rPr>
          <w:rFonts w:ascii="Arial" w:cs="Arial" w:eastAsia="Arial" w:hAnsi="Arial"/>
          <w:sz w:val="21"/>
          <w:szCs w:val="21"/>
          <w:color w:val="auto"/>
        </w:rPr>
        <w:t>Failure to elect or reelect or otherwise to maintain the Executive in the office or the position he had with the Company immediately prior to a Change in Control, or a substantially equivalent or better office or position than that which he had with the Company immediately prior to the Change in Control, in either such case with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68" w:name="page69"/>
    <w:bookmarkEnd w:id="68"/>
    <w:p>
      <w:pPr>
        <w:ind w:right="380"/>
        <w:spacing w:after="0" w:line="253" w:lineRule="auto"/>
        <w:rPr>
          <w:sz w:val="20"/>
          <w:szCs w:val="20"/>
          <w:color w:val="auto"/>
        </w:rPr>
      </w:pPr>
      <w:r>
        <w:rPr>
          <w:rFonts w:ascii="Arial" w:cs="Arial" w:eastAsia="Arial" w:hAnsi="Arial"/>
          <w:sz w:val="22"/>
          <w:szCs w:val="22"/>
          <w:color w:val="auto"/>
        </w:rPr>
        <w:t>the Company, any legal successor to the Company or, if the Company merges with or into another entity with substantial operations, with respect to the business of the Company and its Subsidiaries substantially as conducted immediately prior to the Change in Control;</w:t>
      </w:r>
    </w:p>
    <w:p>
      <w:pPr>
        <w:spacing w:after="0" w:line="226" w:lineRule="exact"/>
        <w:rPr>
          <w:sz w:val="20"/>
          <w:szCs w:val="20"/>
          <w:color w:val="auto"/>
        </w:rPr>
      </w:pPr>
    </w:p>
    <w:p>
      <w:pPr>
        <w:ind w:right="180" w:firstLine="1953"/>
        <w:spacing w:after="0" w:line="257" w:lineRule="auto"/>
        <w:tabs>
          <w:tab w:leader="none" w:pos="2857" w:val="left"/>
        </w:tabs>
        <w:numPr>
          <w:ilvl w:val="0"/>
          <w:numId w:val="34"/>
        </w:numPr>
        <w:rPr>
          <w:rFonts w:ascii="Arial" w:cs="Arial" w:eastAsia="Arial" w:hAnsi="Arial"/>
          <w:sz w:val="21"/>
          <w:szCs w:val="21"/>
          <w:color w:val="auto"/>
        </w:rPr>
      </w:pPr>
      <w:r>
        <w:rPr>
          <w:rFonts w:ascii="Arial" w:cs="Arial" w:eastAsia="Arial" w:hAnsi="Arial"/>
          <w:sz w:val="21"/>
          <w:szCs w:val="21"/>
          <w:color w:val="auto"/>
        </w:rPr>
        <w:t>Failure of the Company to remedy any of the following within 30 calendar days after receipt by the Company of written notice thereof from the Executive: (A) a significant adverse change in the nature or scope of the authorities, powers or functions attached to the position with the Company which the Executive held immediately prior to the Change in Control; (B) a material reduction in the Executive’s Base Pay, (C) a material reduction in the Executive’s Incentive Pay Opportunity or Incentive Pay Target, or (D) the termination or denial of the Executive’s rights to material Employee Benefits or a material reduction in the scope or value thereof, unless such termination or reduction referred to in clauses (B), (C) or (D) applies on a substantially similar basis to all executives of the Company and its parent entities or such right is replaced with a right with a substantially similar scope or value;</w:t>
      </w:r>
    </w:p>
    <w:p>
      <w:pPr>
        <w:spacing w:after="0" w:line="2" w:lineRule="exact"/>
        <w:rPr>
          <w:rFonts w:ascii="Arial" w:cs="Arial" w:eastAsia="Arial" w:hAnsi="Arial"/>
          <w:sz w:val="21"/>
          <w:szCs w:val="21"/>
          <w:color w:val="auto"/>
        </w:rPr>
      </w:pPr>
    </w:p>
    <w:p>
      <w:pPr>
        <w:ind w:left="2920" w:hanging="967"/>
        <w:spacing w:after="0"/>
        <w:tabs>
          <w:tab w:leader="none" w:pos="29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requires the Executive to change Executive’s principal location of work by more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than 35 miles;</w:t>
      </w:r>
    </w:p>
    <w:p>
      <w:pPr>
        <w:spacing w:after="0" w:line="242" w:lineRule="exact"/>
        <w:rPr>
          <w:rFonts w:ascii="Arial" w:cs="Arial" w:eastAsia="Arial" w:hAnsi="Arial"/>
          <w:sz w:val="19"/>
          <w:szCs w:val="19"/>
          <w:color w:val="auto"/>
        </w:rPr>
      </w:pPr>
    </w:p>
    <w:p>
      <w:pPr>
        <w:jc w:val="both"/>
        <w:ind w:right="160" w:firstLine="1953"/>
        <w:spacing w:after="0" w:line="250" w:lineRule="auto"/>
        <w:tabs>
          <w:tab w:leader="none" w:pos="2905"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 the event of the transfer of all or substantially all of the Company’s business and/or assets, the failure of the successor or successors to which all or substantially all of its business and/or assets have been transferred to assume (by operation of law, agreement or otherwise) pursuant to Section 12 hereof all duties and obligations of the Company under this Agreement; or</w:t>
      </w:r>
    </w:p>
    <w:p>
      <w:pPr>
        <w:spacing w:after="0" w:line="228" w:lineRule="exact"/>
        <w:rPr>
          <w:rFonts w:ascii="Arial" w:cs="Arial" w:eastAsia="Arial" w:hAnsi="Arial"/>
          <w:sz w:val="22"/>
          <w:szCs w:val="22"/>
          <w:color w:val="auto"/>
        </w:rPr>
      </w:pPr>
    </w:p>
    <w:p>
      <w:pPr>
        <w:ind w:right="20" w:firstLine="1953"/>
        <w:spacing w:after="0" w:line="312" w:lineRule="auto"/>
        <w:tabs>
          <w:tab w:leader="none" w:pos="2845" w:val="left"/>
        </w:tabs>
        <w:numPr>
          <w:ilvl w:val="0"/>
          <w:numId w:val="34"/>
        </w:numPr>
        <w:rPr>
          <w:rFonts w:ascii="Arial" w:cs="Arial" w:eastAsia="Arial" w:hAnsi="Arial"/>
          <w:sz w:val="19"/>
          <w:szCs w:val="19"/>
          <w:color w:val="auto"/>
        </w:rPr>
      </w:pPr>
      <w:r>
        <w:rPr>
          <w:rFonts w:ascii="Arial" w:cs="Arial" w:eastAsia="Arial" w:hAnsi="Arial"/>
          <w:sz w:val="19"/>
          <w:szCs w:val="19"/>
          <w:color w:val="auto"/>
        </w:rPr>
        <w:t>Without limiting the generality or effect of the foregoing, any material breach of this Agreement or any Other Employment Agreement (as defined below) by the Company or any successor thereto which is not remedied by the Company within 10 calendar days after receipt by the Company of written notice from the Executive of such breach.</w:t>
      </w:r>
    </w:p>
    <w:p>
      <w:pPr>
        <w:spacing w:after="0" w:line="134"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color w:val="auto"/>
        </w:rPr>
        <w:t>A termination of employment by the Executive for one of the reasons set forth in clauses (i) - (iv) above, will not constitute “Good Reason” unless, within the 60-day period immediately following the occurrence of such Good Reason event, the Executive has given written notice to the Company specifying in reasonable detail the event or events relied upon for such termination and the Company has not remedied such event or events within 30 days of the receipt of such notice, and the Executive terminates employment within the 90-day period thereafter (and, in any event, during the Severance Period). The Company and the Executive may mutually waive in writing any of the foregoing provisions with respect to an event or events that otherwise would constitute Good Reason.</w:t>
      </w:r>
    </w:p>
    <w:p>
      <w:pPr>
        <w:spacing w:after="0" w:line="200" w:lineRule="exact"/>
        <w:rPr>
          <w:sz w:val="20"/>
          <w:szCs w:val="20"/>
          <w:color w:val="auto"/>
        </w:rPr>
      </w:pPr>
    </w:p>
    <w:p>
      <w:pPr>
        <w:spacing w:after="0" w:line="213" w:lineRule="exact"/>
        <w:rPr>
          <w:sz w:val="20"/>
          <w:szCs w:val="20"/>
          <w:color w:val="auto"/>
        </w:rPr>
      </w:pPr>
    </w:p>
    <w:p>
      <w:pPr>
        <w:ind w:firstLine="1953"/>
        <w:spacing w:after="0" w:line="260" w:lineRule="auto"/>
        <w:tabs>
          <w:tab w:leader="none" w:pos="2905"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“Incumbent Directors” means the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 individual shall not be an Incumbent Director if such individual’s election or appointment to the Board occurs as a result of an actual or threatened election contest (as described in Rule 14a-12(c) of the Exchange Act) with respect to the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69" w:name="page70"/>
    <w:bookmarkEnd w:id="69"/>
    <w:p>
      <w:pPr>
        <w:ind w:right="260"/>
        <w:spacing w:after="0" w:line="263" w:lineRule="auto"/>
        <w:rPr>
          <w:sz w:val="20"/>
          <w:szCs w:val="20"/>
          <w:color w:val="auto"/>
        </w:rPr>
      </w:pPr>
      <w:r>
        <w:rPr>
          <w:rFonts w:ascii="Arial" w:cs="Arial" w:eastAsia="Arial" w:hAnsi="Arial"/>
          <w:sz w:val="22"/>
          <w:szCs w:val="22"/>
          <w:color w:val="auto"/>
        </w:rPr>
        <w:t>election or removal of Directors or other actual or threatened solicitation of proxies or consents by or on behalf of a Person other than the Board.</w:t>
      </w:r>
    </w:p>
    <w:p>
      <w:pPr>
        <w:spacing w:after="0" w:line="175" w:lineRule="exact"/>
        <w:rPr>
          <w:sz w:val="20"/>
          <w:szCs w:val="20"/>
          <w:color w:val="auto"/>
        </w:rPr>
      </w:pPr>
    </w:p>
    <w:p>
      <w:pPr>
        <w:ind w:right="280" w:firstLine="1953"/>
        <w:spacing w:after="0" w:line="263" w:lineRule="auto"/>
        <w:tabs>
          <w:tab w:leader="none" w:pos="2845"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“Incentive Pay” means compensation in addition to Base Pay determined by reference to one or more performance measures, whether payable in cash, securities or otherwise.</w:t>
      </w:r>
    </w:p>
    <w:p>
      <w:pPr>
        <w:spacing w:after="0" w:line="215" w:lineRule="exact"/>
        <w:rPr>
          <w:rFonts w:ascii="Arial" w:cs="Arial" w:eastAsia="Arial" w:hAnsi="Arial"/>
          <w:sz w:val="22"/>
          <w:szCs w:val="22"/>
          <w:color w:val="auto"/>
        </w:rPr>
      </w:pPr>
    </w:p>
    <w:p>
      <w:pPr>
        <w:ind w:right="20" w:firstLine="1953"/>
        <w:spacing w:after="0" w:line="247" w:lineRule="auto"/>
        <w:tabs>
          <w:tab w:leader="none" w:pos="2845"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“Incentive Pay Opportunity” means the maximum amount of Incentive Pay that the Executive would receive pursuant to any Incentive Pay Plan in existence immediately prior to a Change in Control (disregarding the effects of the Change in Control, including without limitation increased depreciation or amortization, financing expense and transaction costs), assuming satisfaction of all thresholds or other conditions thereto established (i) prior to the Change in Control or (ii) after the Change in Control either (A) with the Executive’s specific prior written approval or (B) by action of a committee of the Board comprised solely of Independent Directors.</w:t>
      </w:r>
    </w:p>
    <w:p>
      <w:pPr>
        <w:spacing w:after="0" w:line="234" w:lineRule="exact"/>
        <w:rPr>
          <w:rFonts w:ascii="Arial" w:cs="Arial" w:eastAsia="Arial" w:hAnsi="Arial"/>
          <w:sz w:val="22"/>
          <w:szCs w:val="22"/>
          <w:color w:val="auto"/>
        </w:rPr>
      </w:pPr>
    </w:p>
    <w:p>
      <w:pPr>
        <w:jc w:val="both"/>
        <w:ind w:right="240" w:firstLine="1953"/>
        <w:spacing w:after="0" w:line="253" w:lineRule="auto"/>
        <w:tabs>
          <w:tab w:leader="none" w:pos="2845"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“Incentive Pay Plan” means any plan, program, agreement or arrangement (excluding employee stock options, restricted stock or other rights the value of which is determined solely by reference to the value of the Company’s common stock).</w:t>
      </w:r>
    </w:p>
    <w:p>
      <w:pPr>
        <w:spacing w:after="0" w:line="226" w:lineRule="exact"/>
        <w:rPr>
          <w:rFonts w:ascii="Arial" w:cs="Arial" w:eastAsia="Arial" w:hAnsi="Arial"/>
          <w:sz w:val="22"/>
          <w:szCs w:val="22"/>
          <w:color w:val="auto"/>
        </w:rPr>
      </w:pPr>
    </w:p>
    <w:p>
      <w:pPr>
        <w:ind w:right="300" w:firstLine="1953"/>
        <w:spacing w:after="0" w:line="259" w:lineRule="auto"/>
        <w:tabs>
          <w:tab w:leader="none" w:pos="2845"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“Incentive Pay Target” means the amount or value of Incentive Pay the Executive would have received assuming that the Incentive Pay Plans in effect immediately prior to the Change in Control continue unchanged and are satisfied at the target level and, if applicable, any conditions to entitlement to payment at the target level thereunder that are not measured by the Company’s results of operation are satisfied at the target level.</w:t>
      </w:r>
    </w:p>
    <w:p>
      <w:pPr>
        <w:spacing w:after="0" w:line="1" w:lineRule="exact"/>
        <w:rPr>
          <w:rFonts w:ascii="Arial" w:cs="Arial" w:eastAsia="Arial" w:hAnsi="Arial"/>
          <w:sz w:val="21"/>
          <w:szCs w:val="21"/>
          <w:color w:val="auto"/>
        </w:rPr>
      </w:pPr>
    </w:p>
    <w:p>
      <w:pPr>
        <w:jc w:val="both"/>
        <w:ind w:right="560" w:firstLine="1953"/>
        <w:spacing w:after="0" w:line="245" w:lineRule="auto"/>
        <w:tabs>
          <w:tab w:leader="none" w:pos="2809"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“Independent Directors” means directors who qualify as “independent” directors under then-applicable New York Stock Exchange rules applicable to compensation committees (whether or not the Company’s securities continue to be listed for trading thereon).</w:t>
      </w:r>
    </w:p>
    <w:p>
      <w:pPr>
        <w:spacing w:after="0" w:line="233" w:lineRule="exact"/>
        <w:rPr>
          <w:rFonts w:ascii="Arial" w:cs="Arial" w:eastAsia="Arial" w:hAnsi="Arial"/>
          <w:sz w:val="22"/>
          <w:szCs w:val="22"/>
          <w:color w:val="auto"/>
        </w:rPr>
      </w:pPr>
    </w:p>
    <w:p>
      <w:pPr>
        <w:ind w:firstLine="1953"/>
        <w:spacing w:after="0" w:line="253" w:lineRule="auto"/>
        <w:tabs>
          <w:tab w:leader="none" w:pos="2821" w:val="left"/>
        </w:tabs>
        <w:numPr>
          <w:ilvl w:val="0"/>
          <w:numId w:val="36"/>
        </w:numPr>
        <w:rPr>
          <w:rFonts w:ascii="Arial" w:cs="Arial" w:eastAsia="Arial" w:hAnsi="Arial"/>
          <w:sz w:val="22"/>
          <w:szCs w:val="22"/>
          <w:color w:val="auto"/>
        </w:rPr>
      </w:pPr>
      <w:r>
        <w:rPr>
          <w:rFonts w:ascii="Arial" w:cs="Arial" w:eastAsia="Arial" w:hAnsi="Arial"/>
          <w:sz w:val="22"/>
          <w:szCs w:val="22"/>
          <w:color w:val="auto"/>
        </w:rPr>
        <w:t>“Other Agreement” means an agreement, contract or understanding (including any option or equity plan or agreement) other than this Agreement, heretofore or hereafter entered into by the Executive with the Company or any Subsidiary.</w:t>
      </w:r>
    </w:p>
    <w:p>
      <w:pPr>
        <w:spacing w:after="0" w:line="226" w:lineRule="exact"/>
        <w:rPr>
          <w:rFonts w:ascii="Arial" w:cs="Arial" w:eastAsia="Arial" w:hAnsi="Arial"/>
          <w:sz w:val="22"/>
          <w:szCs w:val="22"/>
          <w:color w:val="auto"/>
        </w:rPr>
      </w:pPr>
    </w:p>
    <w:p>
      <w:pPr>
        <w:ind w:right="40" w:firstLine="1953"/>
        <w:spacing w:after="0" w:line="250" w:lineRule="auto"/>
        <w:tabs>
          <w:tab w:leader="none" w:pos="2797"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“Retirement Plans” means the benefit plans of the Company that are intended to be qualified under Section 401(a) of the Code and any supplemental executive retirement benefit plan or any other plan that is a successor thereto as such Retirement Plans were in effect immediately prior to the Change in Control and if the Executive was a participant in such Retirement Plan immediately prior to the Change in Control.</w:t>
      </w:r>
    </w:p>
    <w:p>
      <w:pPr>
        <w:spacing w:after="0" w:line="228" w:lineRule="exact"/>
        <w:rPr>
          <w:rFonts w:ascii="Arial" w:cs="Arial" w:eastAsia="Arial" w:hAnsi="Arial"/>
          <w:sz w:val="22"/>
          <w:szCs w:val="22"/>
          <w:color w:val="auto"/>
        </w:rPr>
      </w:pPr>
    </w:p>
    <w:p>
      <w:pPr>
        <w:ind w:left="2860" w:hanging="907"/>
        <w:spacing w:after="0"/>
        <w:tabs>
          <w:tab w:leader="none" w:pos="28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“Section 162(m)” means Section 162(m) of the Code.</w:t>
      </w:r>
    </w:p>
    <w:p>
      <w:pPr>
        <w:spacing w:after="0" w:line="260" w:lineRule="exact"/>
        <w:rPr>
          <w:rFonts w:ascii="Arial" w:cs="Arial" w:eastAsia="Arial" w:hAnsi="Arial"/>
          <w:sz w:val="22"/>
          <w:szCs w:val="22"/>
          <w:color w:val="auto"/>
        </w:rPr>
      </w:pPr>
    </w:p>
    <w:p>
      <w:pPr>
        <w:ind w:left="2860" w:hanging="907"/>
        <w:spacing w:after="0"/>
        <w:tabs>
          <w:tab w:leader="none" w:pos="28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“Section 409A” means Section 409A of the Code.</w:t>
      </w:r>
    </w:p>
    <w:p>
      <w:pPr>
        <w:spacing w:after="0" w:line="260" w:lineRule="exact"/>
        <w:rPr>
          <w:rFonts w:ascii="Arial" w:cs="Arial" w:eastAsia="Arial" w:hAnsi="Arial"/>
          <w:sz w:val="22"/>
          <w:szCs w:val="22"/>
          <w:color w:val="auto"/>
        </w:rPr>
      </w:pPr>
    </w:p>
    <w:p>
      <w:pPr>
        <w:ind w:right="80" w:firstLine="1953"/>
        <w:spacing w:after="0" w:line="263" w:lineRule="auto"/>
        <w:tabs>
          <w:tab w:leader="none" w:pos="2893" w:val="left"/>
        </w:tabs>
        <w:numPr>
          <w:ilvl w:val="0"/>
          <w:numId w:val="36"/>
        </w:numPr>
        <w:rPr>
          <w:rFonts w:ascii="Arial" w:cs="Arial" w:eastAsia="Arial" w:hAnsi="Arial"/>
          <w:sz w:val="22"/>
          <w:szCs w:val="22"/>
          <w:color w:val="auto"/>
        </w:rPr>
      </w:pPr>
      <w:r>
        <w:rPr>
          <w:rFonts w:ascii="Arial" w:cs="Arial" w:eastAsia="Arial" w:hAnsi="Arial"/>
          <w:sz w:val="22"/>
          <w:szCs w:val="22"/>
          <w:color w:val="auto"/>
        </w:rPr>
        <w:t>“Severance Period” means the period of time commencing on the date of the first occurrence of a Change in Control and continuing until the earlier of (i)</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807" w:right="25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the second anniversary of the occurrence of the Change in Control and (ii) the Executive’s death.</w:t>
      </w:r>
    </w:p>
    <w:p>
      <w:pPr>
        <w:spacing w:after="0" w:line="260" w:lineRule="exact"/>
        <w:rPr>
          <w:sz w:val="20"/>
          <w:szCs w:val="20"/>
          <w:color w:val="auto"/>
        </w:rPr>
      </w:pPr>
    </w:p>
    <w:p>
      <w:pPr>
        <w:ind w:right="140" w:firstLine="1953"/>
        <w:spacing w:after="0" w:line="263" w:lineRule="auto"/>
        <w:tabs>
          <w:tab w:leader="none" w:pos="2845" w:val="left"/>
        </w:tabs>
        <w:numPr>
          <w:ilvl w:val="0"/>
          <w:numId w:val="37"/>
        </w:numPr>
        <w:rPr>
          <w:rFonts w:ascii="Arial" w:cs="Arial" w:eastAsia="Arial" w:hAnsi="Arial"/>
          <w:sz w:val="22"/>
          <w:szCs w:val="22"/>
          <w:color w:val="auto"/>
        </w:rPr>
      </w:pPr>
      <w:r>
        <w:rPr>
          <w:rFonts w:ascii="Arial" w:cs="Arial" w:eastAsia="Arial" w:hAnsi="Arial"/>
          <w:sz w:val="22"/>
          <w:szCs w:val="22"/>
          <w:color w:val="auto"/>
        </w:rPr>
        <w:t>“Subsidiary” means an entity in which the Company directly or indirectly beneficially owns 50% or more of the outstanding Voting Stock.</w:t>
      </w:r>
    </w:p>
    <w:p>
      <w:pPr>
        <w:spacing w:after="0" w:line="215" w:lineRule="exact"/>
        <w:rPr>
          <w:rFonts w:ascii="Arial" w:cs="Arial" w:eastAsia="Arial" w:hAnsi="Arial"/>
          <w:sz w:val="22"/>
          <w:szCs w:val="22"/>
          <w:color w:val="auto"/>
        </w:rPr>
      </w:pPr>
    </w:p>
    <w:p>
      <w:pPr>
        <w:ind w:right="140" w:firstLine="1953"/>
        <w:spacing w:after="0" w:line="253" w:lineRule="auto"/>
        <w:tabs>
          <w:tab w:leader="none" w:pos="2845" w:val="left"/>
        </w:tabs>
        <w:numPr>
          <w:ilvl w:val="0"/>
          <w:numId w:val="37"/>
        </w:numPr>
        <w:rPr>
          <w:rFonts w:ascii="Arial" w:cs="Arial" w:eastAsia="Arial" w:hAnsi="Arial"/>
          <w:sz w:val="22"/>
          <w:szCs w:val="22"/>
          <w:color w:val="auto"/>
        </w:rPr>
      </w:pPr>
      <w:r>
        <w:rPr>
          <w:rFonts w:ascii="Arial" w:cs="Arial" w:eastAsia="Arial" w:hAnsi="Arial"/>
          <w:sz w:val="22"/>
          <w:szCs w:val="22"/>
          <w:color w:val="auto"/>
        </w:rPr>
        <w:t>“Termination Date” means the date on which the Executive’s employment is terminated (the effective date of which will be the date of termination, or such other date that may be specified by the Executive if the termination is pursuant to Section 3(b)).</w:t>
      </w:r>
    </w:p>
    <w:p>
      <w:pPr>
        <w:spacing w:after="0" w:line="226" w:lineRule="exact"/>
        <w:rPr>
          <w:rFonts w:ascii="Arial" w:cs="Arial" w:eastAsia="Arial" w:hAnsi="Arial"/>
          <w:sz w:val="22"/>
          <w:szCs w:val="22"/>
          <w:color w:val="auto"/>
        </w:rPr>
      </w:pPr>
    </w:p>
    <w:p>
      <w:pPr>
        <w:ind w:left="2840" w:hanging="887"/>
        <w:spacing w:after="0"/>
        <w:tabs>
          <w:tab w:leader="none" w:pos="28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“Voting Stock” means securities entitled to vote generally in the election of directors.</w:t>
      </w:r>
    </w:p>
    <w:p>
      <w:pPr>
        <w:spacing w:after="0" w:line="22" w:lineRule="exact"/>
        <w:rPr>
          <w:sz w:val="20"/>
          <w:szCs w:val="20"/>
          <w:color w:val="auto"/>
        </w:rPr>
      </w:pPr>
    </w:p>
    <w:p>
      <w:pPr>
        <w:ind w:right="80" w:firstLine="1953"/>
        <w:spacing w:after="0" w:line="245" w:lineRule="auto"/>
        <w:tabs>
          <w:tab w:leader="none" w:pos="2929" w:val="left"/>
        </w:tabs>
        <w:numPr>
          <w:ilvl w:val="1"/>
          <w:numId w:val="38"/>
        </w:numPr>
        <w:rPr>
          <w:rFonts w:ascii="Arial" w:cs="Arial" w:eastAsia="Arial" w:hAnsi="Arial"/>
          <w:sz w:val="22"/>
          <w:szCs w:val="22"/>
          <w:color w:val="auto"/>
        </w:rPr>
      </w:pPr>
      <w:r>
        <w:rPr>
          <w:rFonts w:ascii="Arial" w:cs="Arial" w:eastAsia="Arial" w:hAnsi="Arial"/>
          <w:sz w:val="22"/>
          <w:szCs w:val="22"/>
          <w:color w:val="auto"/>
        </w:rPr>
        <w:t>“Welfare Benefits” means Employee Benefits that are provided under any “welfare plan” (within the meaning of Section 3(1) of ERISA) of the Company, and fringe benefits and other perquisites of employment, such as car allowances, club dues, financial planning and product discounts.</w:t>
      </w:r>
    </w:p>
    <w:p>
      <w:pPr>
        <w:spacing w:after="0" w:line="233" w:lineRule="exact"/>
        <w:rPr>
          <w:rFonts w:ascii="Arial" w:cs="Arial" w:eastAsia="Arial" w:hAnsi="Arial"/>
          <w:sz w:val="22"/>
          <w:szCs w:val="22"/>
          <w:color w:val="auto"/>
        </w:rPr>
      </w:pPr>
    </w:p>
    <w:p>
      <w:pPr>
        <w:ind w:left="1960" w:right="80" w:hanging="655"/>
        <w:spacing w:after="0" w:line="294" w:lineRule="auto"/>
        <w:tabs>
          <w:tab w:leader="none" w:pos="196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Operation of Agreement.</w:t>
      </w:r>
      <w:r>
        <w:rPr>
          <w:rFonts w:ascii="Arial" w:cs="Arial" w:eastAsia="Arial" w:hAnsi="Arial"/>
          <w:sz w:val="19"/>
          <w:szCs w:val="19"/>
          <w:color w:val="auto"/>
        </w:rPr>
        <w:t xml:space="preserve"> This Agreement will be effective and binding immediately upon its execution, but, anything in this Agreement to the contrary notwithstanding, this Agreement will not be operative unless and until a Change in Control occurs. Upon the occurrence of a Change in Control, without further action, this Agreement will become immediately operative until the end of the Severance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prior to a Change in Control, the Executive ceases for any reason to be a full-time employee of the Company, thereupon without further action this Agreement will immediately terminate and be of no further effect.</w:t>
      </w:r>
    </w:p>
    <w:p>
      <w:pPr>
        <w:spacing w:after="0" w:line="190" w:lineRule="exact"/>
        <w:rPr>
          <w:rFonts w:ascii="Arial" w:cs="Arial" w:eastAsia="Arial" w:hAnsi="Arial"/>
          <w:sz w:val="19"/>
          <w:szCs w:val="19"/>
          <w:color w:val="auto"/>
        </w:rPr>
      </w:pPr>
    </w:p>
    <w:p>
      <w:pPr>
        <w:ind w:left="1960" w:hanging="655"/>
        <w:spacing w:after="0"/>
        <w:tabs>
          <w:tab w:leader="none" w:pos="19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Termination Following a Change in Control.</w:t>
      </w:r>
    </w:p>
    <w:p>
      <w:pPr>
        <w:spacing w:after="0" w:line="21" w:lineRule="exact"/>
        <w:rPr>
          <w:rFonts w:ascii="Arial" w:cs="Arial" w:eastAsia="Arial" w:hAnsi="Arial"/>
          <w:sz w:val="22"/>
          <w:szCs w:val="22"/>
          <w:color w:val="auto"/>
        </w:rPr>
      </w:pPr>
    </w:p>
    <w:p>
      <w:pPr>
        <w:ind w:left="1960" w:right="60" w:hanging="7"/>
        <w:spacing w:after="0" w:line="244" w:lineRule="auto"/>
        <w:tabs>
          <w:tab w:leader="none" w:pos="2848" w:val="left"/>
        </w:tabs>
        <w:numPr>
          <w:ilvl w:val="1"/>
          <w:numId w:val="39"/>
        </w:numPr>
        <w:rPr>
          <w:rFonts w:ascii="Arial" w:cs="Arial" w:eastAsia="Arial" w:hAnsi="Arial"/>
          <w:sz w:val="22"/>
          <w:szCs w:val="22"/>
          <w:color w:val="auto"/>
        </w:rPr>
      </w:pPr>
      <w:r>
        <w:rPr>
          <w:rFonts w:ascii="Arial" w:cs="Arial" w:eastAsia="Arial" w:hAnsi="Arial"/>
          <w:sz w:val="22"/>
          <w:szCs w:val="22"/>
          <w:color w:val="auto"/>
        </w:rPr>
        <w:t>In the event of the occurrence of a Change in Control, the Executive’s employment may be terminated by the Company during the Severance Period and the Executive will be entitled to the benefits provided by Section 4 unless such termination is the result of the occurrence of one or more of the following events:</w:t>
      </w:r>
    </w:p>
    <w:p>
      <w:pPr>
        <w:spacing w:after="0" w:line="236" w:lineRule="exact"/>
        <w:rPr>
          <w:rFonts w:ascii="Arial" w:cs="Arial" w:eastAsia="Arial" w:hAnsi="Arial"/>
          <w:sz w:val="22"/>
          <w:szCs w:val="22"/>
          <w:color w:val="auto"/>
        </w:rPr>
      </w:pPr>
    </w:p>
    <w:p>
      <w:pPr>
        <w:ind w:left="2960" w:hanging="845"/>
        <w:spacing w:after="0"/>
        <w:tabs>
          <w:tab w:leader="none" w:pos="2960" w:val="left"/>
        </w:tabs>
        <w:numPr>
          <w:ilvl w:val="2"/>
          <w:numId w:val="39"/>
        </w:numPr>
        <w:rPr>
          <w:rFonts w:ascii="Arial" w:cs="Arial" w:eastAsia="Arial" w:hAnsi="Arial"/>
          <w:sz w:val="22"/>
          <w:szCs w:val="22"/>
          <w:color w:val="auto"/>
        </w:rPr>
      </w:pPr>
      <w:r>
        <w:rPr>
          <w:rFonts w:ascii="Arial" w:cs="Arial" w:eastAsia="Arial" w:hAnsi="Arial"/>
          <w:sz w:val="22"/>
          <w:szCs w:val="22"/>
          <w:color w:val="auto"/>
        </w:rPr>
        <w:t>the Executive’s death;</w:t>
      </w:r>
    </w:p>
    <w:p>
      <w:pPr>
        <w:spacing w:after="0" w:line="260" w:lineRule="exact"/>
        <w:rPr>
          <w:rFonts w:ascii="Arial" w:cs="Arial" w:eastAsia="Arial" w:hAnsi="Arial"/>
          <w:sz w:val="22"/>
          <w:szCs w:val="22"/>
          <w:color w:val="auto"/>
        </w:rPr>
      </w:pPr>
    </w:p>
    <w:p>
      <w:pPr>
        <w:ind w:left="660" w:firstLine="1455"/>
        <w:spacing w:after="0" w:line="253" w:lineRule="auto"/>
        <w:tabs>
          <w:tab w:leader="none" w:pos="3031" w:val="left"/>
        </w:tabs>
        <w:numPr>
          <w:ilvl w:val="2"/>
          <w:numId w:val="39"/>
        </w:numPr>
        <w:rPr>
          <w:rFonts w:ascii="Arial" w:cs="Arial" w:eastAsia="Arial" w:hAnsi="Arial"/>
          <w:sz w:val="22"/>
          <w:szCs w:val="22"/>
          <w:color w:val="auto"/>
        </w:rPr>
      </w:pPr>
      <w:r>
        <w:rPr>
          <w:rFonts w:ascii="Arial" w:cs="Arial" w:eastAsia="Arial" w:hAnsi="Arial"/>
          <w:sz w:val="22"/>
          <w:szCs w:val="22"/>
          <w:color w:val="auto"/>
        </w:rPr>
        <w:t>if the Executive becomes permanently disabled within the meaning of, and begins actually to receive disability benefits pursuant to, the long-term disability plan in effect for, or applicable to, the Executive immediately prior to the Change in Control; or</w:t>
      </w:r>
    </w:p>
    <w:p>
      <w:pPr>
        <w:spacing w:after="0" w:line="226" w:lineRule="exact"/>
        <w:rPr>
          <w:rFonts w:ascii="Arial" w:cs="Arial" w:eastAsia="Arial" w:hAnsi="Arial"/>
          <w:sz w:val="22"/>
          <w:szCs w:val="22"/>
          <w:color w:val="auto"/>
        </w:rPr>
      </w:pPr>
    </w:p>
    <w:p>
      <w:pPr>
        <w:ind w:left="3000" w:hanging="885"/>
        <w:spacing w:after="0"/>
        <w:tabs>
          <w:tab w:leader="none" w:pos="3000" w:val="left"/>
        </w:tabs>
        <w:numPr>
          <w:ilvl w:val="2"/>
          <w:numId w:val="39"/>
        </w:numPr>
        <w:rPr>
          <w:rFonts w:ascii="Arial" w:cs="Arial" w:eastAsia="Arial" w:hAnsi="Arial"/>
          <w:sz w:val="22"/>
          <w:szCs w:val="22"/>
          <w:color w:val="auto"/>
        </w:rPr>
      </w:pPr>
      <w:r>
        <w:rPr>
          <w:rFonts w:ascii="Arial" w:cs="Arial" w:eastAsia="Arial" w:hAnsi="Arial"/>
          <w:sz w:val="22"/>
          <w:szCs w:val="22"/>
          <w:color w:val="auto"/>
        </w:rPr>
        <w:t>Cause.</w:t>
      </w:r>
    </w:p>
    <w:p>
      <w:pPr>
        <w:spacing w:after="0" w:line="260" w:lineRule="exact"/>
        <w:rPr>
          <w:sz w:val="20"/>
          <w:szCs w:val="20"/>
          <w:color w:val="auto"/>
        </w:rPr>
      </w:pPr>
    </w:p>
    <w:p>
      <w:pPr>
        <w:ind w:left="660" w:right="180"/>
        <w:spacing w:after="0" w:line="253" w:lineRule="auto"/>
        <w:rPr>
          <w:sz w:val="20"/>
          <w:szCs w:val="20"/>
          <w:color w:val="auto"/>
        </w:rPr>
      </w:pPr>
      <w:r>
        <w:rPr>
          <w:rFonts w:ascii="Arial" w:cs="Arial" w:eastAsia="Arial" w:hAnsi="Arial"/>
          <w:sz w:val="22"/>
          <w:szCs w:val="22"/>
          <w:color w:val="auto"/>
        </w:rPr>
        <w:t xml:space="preserve">If, during the Severance Period, the Executive’s employment is terminated by the Company other than pursuant to Section 3(a)(i), 3(a)(ii) or 3(a)(iii), the Executive will be entitled to the benefits provided by Section 4;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termination constitutes a “separation from service” as defined in Section 409A.</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1" w:right="259" w:bottom="1440" w:gutter="0" w:footer="0" w:header="0"/>
        </w:sectPr>
      </w:pPr>
    </w:p>
    <w:bookmarkStart w:id="71" w:name="page72"/>
    <w:bookmarkEnd w:id="71"/>
    <w:p>
      <w:pPr>
        <w:ind w:left="-540" w:right="200" w:firstLine="1293"/>
        <w:spacing w:after="0" w:line="250" w:lineRule="auto"/>
        <w:tabs>
          <w:tab w:leader="none" w:pos="1657"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the event of the occurrence of a Change in Control, the Executive may terminate employment with the Company for Good Reason, with the right to severance compensation as provided in Section 4, regardless of whether any other reason, other than Cause, for such termination exists or has occurred, including without limitation other employment.</w:t>
      </w:r>
    </w:p>
    <w:p>
      <w:pPr>
        <w:spacing w:after="0" w:line="228" w:lineRule="exact"/>
        <w:rPr>
          <w:rFonts w:ascii="Arial" w:cs="Arial" w:eastAsia="Arial" w:hAnsi="Arial"/>
          <w:sz w:val="22"/>
          <w:szCs w:val="22"/>
          <w:color w:val="auto"/>
        </w:rPr>
      </w:pPr>
    </w:p>
    <w:p>
      <w:pPr>
        <w:ind w:left="-540" w:right="120" w:firstLine="1293"/>
        <w:spacing w:after="0" w:line="263" w:lineRule="auto"/>
        <w:tabs>
          <w:tab w:leader="none" w:pos="1645" w:val="left"/>
        </w:tabs>
        <w:numPr>
          <w:ilvl w:val="0"/>
          <w:numId w:val="40"/>
        </w:numPr>
        <w:rPr>
          <w:rFonts w:ascii="Arial" w:cs="Arial" w:eastAsia="Arial" w:hAnsi="Arial"/>
          <w:sz w:val="21"/>
          <w:szCs w:val="21"/>
          <w:color w:val="auto"/>
        </w:rPr>
      </w:pPr>
      <w:r>
        <w:rPr>
          <w:rFonts w:ascii="Arial" w:cs="Arial" w:eastAsia="Arial" w:hAnsi="Arial"/>
          <w:sz w:val="21"/>
          <w:szCs w:val="21"/>
          <w:color w:val="auto"/>
        </w:rPr>
        <w:t>Nothing in this Agreement will (i) be construed as creating an express or implied contract of employment, changing the status of Executive as an employee at will, giving Executive any right to be retained in the employ of the Company, or giving Executive the right to any particular level of compensation or benefits or (ii) interfere in any way with the right of the Company to terminate the employment of the Executive at any time with or without Cause, subject in either case to the obligations of the Company under this Agreement.</w:t>
      </w:r>
    </w:p>
    <w:p>
      <w:pPr>
        <w:spacing w:after="0" w:line="216" w:lineRule="exact"/>
        <w:rPr>
          <w:sz w:val="20"/>
          <w:szCs w:val="20"/>
          <w:color w:val="auto"/>
        </w:rPr>
      </w:pPr>
    </w:p>
    <w:p>
      <w:pPr>
        <w:ind w:left="760" w:hanging="655"/>
        <w:spacing w:after="0"/>
        <w:tabs>
          <w:tab w:leader="none" w:pos="7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Severance Compensation.</w:t>
      </w:r>
    </w:p>
    <w:p>
      <w:pPr>
        <w:spacing w:after="0" w:line="22" w:lineRule="exact"/>
        <w:rPr>
          <w:sz w:val="20"/>
          <w:szCs w:val="20"/>
          <w:color w:val="auto"/>
        </w:rPr>
      </w:pPr>
    </w:p>
    <w:p>
      <w:pPr>
        <w:ind w:left="100" w:firstLine="5"/>
        <w:spacing w:after="0" w:line="258" w:lineRule="auto"/>
        <w:tabs>
          <w:tab w:leader="none" w:pos="988"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If, following the occurrence of a Change in Control, the Company terminates the Executive’s employment during the Severance Period other than pursuant to Section 3(a)(i), 3(a)(ii) or 3(a)(iii), or if the Executive terminates Executive’s employment pursuant to Section 3(b) (any such termination, a “Triggering Termination”), then,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Triggering Termination constitutes a “separation from service” as defined in Section 409A, the Company will pay to the Executive the amounts described in Annex A within fifteen business days after the Termination Date (subject to the provisions of subsection (d) of this Section).</w:t>
      </w:r>
    </w:p>
    <w:p>
      <w:pPr>
        <w:spacing w:after="0" w:line="220" w:lineRule="exact"/>
        <w:rPr>
          <w:rFonts w:ascii="Arial" w:cs="Arial" w:eastAsia="Arial" w:hAnsi="Arial"/>
          <w:sz w:val="21"/>
          <w:szCs w:val="21"/>
          <w:color w:val="auto"/>
        </w:rPr>
      </w:pPr>
    </w:p>
    <w:p>
      <w:pPr>
        <w:ind w:left="-540" w:right="40" w:firstLine="645"/>
        <w:spacing w:after="0" w:line="261" w:lineRule="auto"/>
        <w:tabs>
          <w:tab w:leader="none" w:pos="1009" w:val="left"/>
        </w:tabs>
        <w:numPr>
          <w:ilvl w:val="0"/>
          <w:numId w:val="42"/>
        </w:numPr>
        <w:rPr>
          <w:rFonts w:ascii="Arial" w:cs="Arial" w:eastAsia="Arial" w:hAnsi="Arial"/>
          <w:sz w:val="21"/>
          <w:szCs w:val="21"/>
          <w:color w:val="auto"/>
        </w:rPr>
      </w:pPr>
      <w:r>
        <w:rPr>
          <w:rFonts w:ascii="Arial" w:cs="Arial" w:eastAsia="Arial" w:hAnsi="Arial"/>
          <w:sz w:val="21"/>
          <w:szCs w:val="21"/>
          <w:color w:val="auto"/>
        </w:rPr>
        <w:t>Without limiting the rights of the Executive at law or in equity, if the Company fails to make any payment or provide any benefit required to be made or provided hereunder on a timely basis, the Company will pay interest on the amount or value thereof at an annualized rate of interest equal to the “prime rate” as set forth from time to time during the relevant period in The Wall Street Journal “Money Rates” column, plus 200 basis points, compounded monthly, or, if less, the maximum rate legally allowed. Such interest will be payable as it accrues on demand. Any change in such prime rate will be effective on and as of the date of such change.</w:t>
      </w:r>
    </w:p>
    <w:p>
      <w:pPr>
        <w:spacing w:after="0" w:line="220" w:lineRule="exact"/>
        <w:rPr>
          <w:rFonts w:ascii="Arial" w:cs="Arial" w:eastAsia="Arial" w:hAnsi="Arial"/>
          <w:sz w:val="21"/>
          <w:szCs w:val="21"/>
          <w:color w:val="auto"/>
        </w:rPr>
      </w:pPr>
    </w:p>
    <w:p>
      <w:pPr>
        <w:ind w:left="-540" w:right="20" w:firstLine="645"/>
        <w:spacing w:after="0" w:line="288" w:lineRule="auto"/>
        <w:tabs>
          <w:tab w:leader="none" w:pos="996" w:val="left"/>
        </w:tabs>
        <w:numPr>
          <w:ilvl w:val="0"/>
          <w:numId w:val="42"/>
        </w:numPr>
        <w:rPr>
          <w:rFonts w:ascii="Arial" w:cs="Arial" w:eastAsia="Arial" w:hAnsi="Arial"/>
          <w:sz w:val="19"/>
          <w:szCs w:val="19"/>
          <w:color w:val="auto"/>
        </w:rPr>
      </w:pPr>
      <w:r>
        <w:rPr>
          <w:rFonts w:ascii="Arial" w:cs="Arial" w:eastAsia="Arial" w:hAnsi="Arial"/>
          <w:sz w:val="19"/>
          <w:szCs w:val="19"/>
          <w:color w:val="auto"/>
        </w:rPr>
        <w:t>Unless otherwise expressly provided by the applicable plan, program or agreement, after the occurrence of a Change in Control, the Company will pay in cash to the Executive a lump sum amount equal to the sum of (i) any unpaid Incentive Pay that has been earned, accrued, allocated or awarded to the Executive for any performance period that by its terms as in effect prior to a Triggering Termination has been completed (any such period, a “Completed Performance Period”) (regardless of whether payment of such compensation would otherwise be contingent on the continuing performance of services by the Executive) and (ii) the Pro Rata Portion of the Incentive Pay Target in effect for any subsequent performance period. For this purpose, “Pro Rata Portion” means (x) the number of days from and including the first day immediately following the last day of the immediately preceding Completed Performance Period to and including the Termination Date, divided by (y) the total number of days in such subsequent performance period. Such payments will be made at the earlier of (x) the date prescribed for payment pursuant to the applicable plan, program or agreement and (y) within five business days after the Termination Date,</w:t>
      </w:r>
    </w:p>
    <w:p>
      <w:pPr>
        <w:spacing w:after="0" w:line="17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591"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and will be payable and calculated disregarding any otherwise applicable vesting requirements.</w:t>
      </w:r>
    </w:p>
    <w:p>
      <w:pPr>
        <w:spacing w:after="0" w:line="260" w:lineRule="exact"/>
        <w:rPr>
          <w:sz w:val="20"/>
          <w:szCs w:val="20"/>
          <w:color w:val="auto"/>
        </w:rPr>
      </w:pPr>
    </w:p>
    <w:p>
      <w:pPr>
        <w:ind w:right="40" w:firstLine="645"/>
        <w:spacing w:after="0" w:line="259" w:lineRule="auto"/>
        <w:tabs>
          <w:tab w:leader="none" w:pos="1549" w:val="left"/>
        </w:tabs>
        <w:numPr>
          <w:ilvl w:val="0"/>
          <w:numId w:val="43"/>
        </w:numPr>
        <w:rPr>
          <w:rFonts w:ascii="Arial" w:cs="Arial" w:eastAsia="Arial" w:hAnsi="Arial"/>
          <w:sz w:val="21"/>
          <w:szCs w:val="21"/>
          <w:color w:val="auto"/>
        </w:rPr>
      </w:pPr>
      <w:r>
        <w:rPr>
          <w:rFonts w:ascii="Arial" w:cs="Arial" w:eastAsia="Arial" w:hAnsi="Arial"/>
          <w:sz w:val="21"/>
          <w:szCs w:val="21"/>
          <w:color w:val="auto"/>
        </w:rPr>
        <w:t>To the extent required in order to avoid accelerated taxation and/or tax penalties under Section 409A, amounts that would otherwise be payable and benefits that would otherwise be provided pursuant to this Agreement during the six-month period immediately following the Executive’s termination of employment shall instead be paid on the first business day after the date that is six months following the Executive’s termination of employment (or upon the Executive’s death, if earlier). In addition, for purposes of this Agreement, each amount to be paid or benefit to be provided shall be construed as a separate identified payment for purposes of Section 409A, and any payments described in Annex A that are due within the “short-term deferral period” as defined in Section 409A shall not be treated as deferred compensation unless applicable law requires otherwise.</w:t>
      </w:r>
    </w:p>
    <w:p>
      <w:pPr>
        <w:spacing w:after="0" w:line="225" w:lineRule="exact"/>
        <w:rPr>
          <w:sz w:val="20"/>
          <w:szCs w:val="20"/>
          <w:color w:val="auto"/>
        </w:rPr>
      </w:pPr>
    </w:p>
    <w:p>
      <w:pPr>
        <w:ind w:left="1300" w:hanging="655"/>
        <w:spacing w:after="0" w:line="284" w:lineRule="auto"/>
        <w:tabs>
          <w:tab w:leader="none" w:pos="130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Limitations on Payments and Benefits.</w:t>
      </w:r>
      <w:r>
        <w:rPr>
          <w:rFonts w:ascii="Arial" w:cs="Arial" w:eastAsia="Arial" w:hAnsi="Arial"/>
          <w:sz w:val="19"/>
          <w:szCs w:val="19"/>
          <w:color w:val="auto"/>
        </w:rPr>
        <w:t xml:space="preserve"> Notwithstanding any provision of this Agreement or any Other Agreement to the contrary (including without limitation any lesser protection of Executive under any equity-based award agreement), if any amount or benefit to be paid or provided under this Agreement or any Other Agreement would be an Excess Parachute Payment (including after taking into account the value, to the maximum extent permitted by Section 280G of the Code, of the covenants in Section 9 hereof),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foregoing reduction will not be made if such reduction would result in Executive</w:t>
      </w:r>
      <w:r>
        <w:rPr>
          <w:rFonts w:ascii="Arial" w:cs="Arial" w:eastAsia="Arial" w:hAnsi="Arial"/>
          <w:sz w:val="19"/>
          <w:szCs w:val="19"/>
          <w:i w:val="1"/>
          <w:iCs w:val="1"/>
          <w:color w:val="auto"/>
        </w:rPr>
        <w:t xml:space="preserve"> </w:t>
      </w:r>
      <w:r>
        <w:rPr>
          <w:rFonts w:ascii="Arial" w:cs="Arial" w:eastAsia="Arial" w:hAnsi="Arial"/>
          <w:sz w:val="19"/>
          <w:szCs w:val="19"/>
          <w:color w:val="auto"/>
        </w:rPr>
        <w:t>receiving an After-Tax Amount that is less than 90% of the After-Tax Amount of the payments and benefits that he or she would have received under Section 4 or under any Other Agreement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in Section 89 hereof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5 will not of itself limit or otherwise affect any other rights of the Executive pursuant to this Agreement or any Other Agreement. In the event that any payment or benefit intended to be provided is required to be reduced pursuant to this Section 5, then the Company shall in good faith determine the appropriate treatment of payments or benefits, consistent with the requirements of Section 409A that produces the most advantageous economic outcome for the Executive, and its determination shall be</w:t>
      </w:r>
    </w:p>
    <w:p>
      <w:pPr>
        <w:spacing w:after="0" w:line="19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60"/>
          </w:cols>
          <w:pgMar w:left="900" w:top="591" w:right="239" w:bottom="1440" w:gutter="0" w:footer="0" w:header="0"/>
        </w:sectPr>
      </w:pPr>
    </w:p>
    <w:bookmarkStart w:id="73" w:name="page74"/>
    <w:bookmarkEnd w:id="73"/>
    <w:p>
      <w:pPr>
        <w:ind w:left="1952" w:right="20"/>
        <w:spacing w:after="0" w:line="253" w:lineRule="auto"/>
        <w:rPr>
          <w:sz w:val="20"/>
          <w:szCs w:val="20"/>
          <w:color w:val="auto"/>
        </w:rPr>
      </w:pPr>
      <w:r>
        <w:rPr>
          <w:rFonts w:ascii="Arial" w:cs="Arial" w:eastAsia="Arial" w:hAnsi="Arial"/>
          <w:sz w:val="22"/>
          <w:szCs w:val="22"/>
          <w:color w:val="auto"/>
        </w:rPr>
        <w:t>final and binding on the Executive. The Company will provide the Executive with all information reasonably required or requested by the Executive to demonstrate to the Executive that it has complied with the immediately preceding sentence.</w:t>
      </w:r>
    </w:p>
    <w:p>
      <w:pPr>
        <w:spacing w:after="0" w:line="226" w:lineRule="exact"/>
        <w:rPr>
          <w:sz w:val="20"/>
          <w:szCs w:val="20"/>
          <w:color w:val="auto"/>
        </w:rPr>
      </w:pPr>
    </w:p>
    <w:p>
      <w:pPr>
        <w:ind w:left="652" w:firstLine="645"/>
        <w:spacing w:after="0" w:line="246" w:lineRule="auto"/>
        <w:tabs>
          <w:tab w:leader="none" w:pos="2111"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Executive Protections; Defend Trade Secrets Act.</w:t>
      </w:r>
      <w:r>
        <w:rPr>
          <w:rFonts w:ascii="Arial" w:cs="Arial" w:eastAsia="Arial" w:hAnsi="Arial"/>
          <w:sz w:val="22"/>
          <w:szCs w:val="22"/>
          <w:color w:val="auto"/>
        </w:rPr>
        <w:t xml:space="preserve"> (a) Nothing in this Agreement or otherwise limits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or self-regulatory organization (each such agency, commission or organization, a “Government Agency”) regarding possible legal violations, without disclosure to the Company. The Company may not retaliate against Executive for any of these activities, and nothing in this Agreement requires Executive to waive any monetary award or other relief that Executive might become entitled to from the SEC or any other Government Agency.</w:t>
      </w:r>
    </w:p>
    <w:p>
      <w:pPr>
        <w:spacing w:after="0" w:line="235" w:lineRule="exact"/>
        <w:rPr>
          <w:sz w:val="20"/>
          <w:szCs w:val="20"/>
          <w:color w:val="auto"/>
        </w:rPr>
      </w:pPr>
    </w:p>
    <w:p>
      <w:pPr>
        <w:ind w:left="-8" w:right="80" w:firstLine="1305"/>
        <w:spacing w:after="0" w:line="291" w:lineRule="auto"/>
        <w:tabs>
          <w:tab w:leader="none" w:pos="1595" w:val="left"/>
        </w:tabs>
        <w:numPr>
          <w:ilvl w:val="1"/>
          <w:numId w:val="46"/>
        </w:numPr>
        <w:rPr>
          <w:rFonts w:ascii="Arial" w:cs="Arial" w:eastAsia="Arial" w:hAnsi="Arial"/>
          <w:sz w:val="19"/>
          <w:szCs w:val="19"/>
          <w:color w:val="auto"/>
        </w:rPr>
      </w:pPr>
      <w:r>
        <w:rPr>
          <w:rFonts w:ascii="Arial" w:cs="Arial" w:eastAsia="Arial" w:hAnsi="Arial"/>
          <w:sz w:val="19"/>
          <w:szCs w:val="19"/>
          <w:color w:val="auto"/>
        </w:rPr>
        <w:t>Pursuant to the Defend Trade Secrets Act of 2016, Executive and the Company acknowledge and agree that Executive shall not have criminal or civil liability under any federal or state trade secret law for the disclosure of a trade secret that</w:t>
      </w:r>
    </w:p>
    <w:p>
      <w:pPr>
        <w:spacing w:after="0" w:line="1" w:lineRule="exact"/>
        <w:rPr>
          <w:rFonts w:ascii="Arial" w:cs="Arial" w:eastAsia="Arial" w:hAnsi="Arial"/>
          <w:sz w:val="19"/>
          <w:szCs w:val="19"/>
          <w:color w:val="auto"/>
        </w:rPr>
      </w:pPr>
    </w:p>
    <w:p>
      <w:pPr>
        <w:ind w:left="-8" w:firstLine="8"/>
        <w:spacing w:after="0" w:line="290" w:lineRule="auto"/>
        <w:tabs>
          <w:tab w:leader="none" w:pos="25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w:t>
      </w:r>
    </w:p>
    <w:p>
      <w:pPr>
        <w:spacing w:after="0" w:line="194" w:lineRule="exact"/>
        <w:rPr>
          <w:sz w:val="20"/>
          <w:szCs w:val="20"/>
          <w:color w:val="auto"/>
        </w:rPr>
      </w:pPr>
    </w:p>
    <w:p>
      <w:pPr>
        <w:ind w:left="1952" w:hanging="655"/>
        <w:spacing w:after="0" w:line="259" w:lineRule="auto"/>
        <w:tabs>
          <w:tab w:leader="none" w:pos="1952"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No Mitigation Obligation; Other Agreements.</w:t>
      </w:r>
      <w:r>
        <w:rPr>
          <w:rFonts w:ascii="Arial" w:cs="Arial" w:eastAsia="Arial" w:hAnsi="Arial"/>
          <w:sz w:val="21"/>
          <w:szCs w:val="21"/>
          <w:color w:val="auto"/>
        </w:rPr>
        <w:t xml:space="preserve"> (a) The Company hereby acknowledges that it will be difficult and may be impossible for the Executive to find reasonably comparable employment following the Termination Date. Accordingly, the payment of the severance compensation by the Company to the Executive in accordance with the terms of this Agreement is hereby acknowledged by the Company to be reasonable, and the Executive will not be required to mitigate the amount of any payment provided for in this Agreement by seeking other employment or otherwise, nor will any profits, income, earnings or other benefits from any source whatsoever create any mitigation, offset, reduction or any other obligation on the part of the Executive hereunder or otherwise.</w:t>
      </w:r>
    </w:p>
    <w:p>
      <w:pPr>
        <w:spacing w:after="0" w:line="224" w:lineRule="exact"/>
        <w:rPr>
          <w:rFonts w:ascii="Arial" w:cs="Arial" w:eastAsia="Arial" w:hAnsi="Arial"/>
          <w:sz w:val="21"/>
          <w:szCs w:val="21"/>
          <w:color w:val="auto"/>
        </w:rPr>
      </w:pPr>
    </w:p>
    <w:p>
      <w:pPr>
        <w:ind w:left="-8" w:right="280" w:firstLine="656"/>
        <w:spacing w:after="0" w:line="302" w:lineRule="auto"/>
        <w:tabs>
          <w:tab w:leader="none" w:pos="946" w:val="left"/>
        </w:tabs>
        <w:numPr>
          <w:ilvl w:val="0"/>
          <w:numId w:val="49"/>
        </w:numPr>
        <w:rPr>
          <w:rFonts w:ascii="Arial" w:cs="Arial" w:eastAsia="Arial" w:hAnsi="Arial"/>
          <w:sz w:val="19"/>
          <w:szCs w:val="19"/>
          <w:color w:val="auto"/>
        </w:rPr>
      </w:pPr>
      <w:r>
        <w:rPr>
          <w:rFonts w:ascii="Arial" w:cs="Arial" w:eastAsia="Arial" w:hAnsi="Arial"/>
          <w:sz w:val="19"/>
          <w:szCs w:val="19"/>
          <w:color w:val="auto"/>
        </w:rPr>
        <w:t>A termination of employment pursuant to Section 3 will not affect any rights that the Executive may have pursuant to any agreement, policy, plan, program or arrangement of the Company or Subsidiary providing Employee Benefits, which rights will be governed by the terms thereof. To the extent that the Executive receives payments by reason of his or her termination of employment pursuant to any other employment or severance agreement or employee plan (collectively, “Other Employment</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591" w:right="259" w:bottom="1440" w:gutter="0" w:footer="0" w:header="0"/>
        </w:sectPr>
      </w:pPr>
    </w:p>
    <w:bookmarkStart w:id="74" w:name="page75"/>
    <w:bookmarkEnd w:id="74"/>
    <w:p>
      <w:pPr>
        <w:ind w:right="140"/>
        <w:spacing w:after="0" w:line="297" w:lineRule="auto"/>
        <w:rPr>
          <w:sz w:val="20"/>
          <w:szCs w:val="20"/>
          <w:color w:val="auto"/>
        </w:rPr>
      </w:pPr>
      <w:r>
        <w:rPr>
          <w:rFonts w:ascii="Arial" w:cs="Arial" w:eastAsia="Arial" w:hAnsi="Arial"/>
          <w:sz w:val="19"/>
          <w:szCs w:val="19"/>
          <w:color w:val="auto"/>
        </w:rPr>
        <w:t>Agreements”), the amounts otherwise receivable under Section 4 will be reduced by the amounts actually paid pursuant to the Other Employment Agreements, but not below zero, to avoid duplication of payments so that the total amount payable or value of benefits receivable hereunder and under the Other Employment Agreements is not less than the amounts so payable or value so receivable had such benefits been paid in full hereunder. In the event that this Agreement conflicts with the terms of any equity award agreement, this Agreement shall govern unless otherwise expressly stated in such equity award agreement.</w:t>
      </w:r>
    </w:p>
    <w:p>
      <w:pPr>
        <w:spacing w:after="0" w:line="188" w:lineRule="exact"/>
        <w:rPr>
          <w:sz w:val="20"/>
          <w:szCs w:val="20"/>
          <w:color w:val="auto"/>
        </w:rPr>
      </w:pPr>
    </w:p>
    <w:p>
      <w:pPr>
        <w:ind w:left="1960" w:hanging="655"/>
        <w:spacing w:after="0" w:line="284" w:lineRule="auto"/>
        <w:tabs>
          <w:tab w:leader="none" w:pos="196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Legal Fees and Expenses.</w:t>
      </w:r>
      <w:r>
        <w:rPr>
          <w:rFonts w:ascii="Arial" w:cs="Arial" w:eastAsia="Arial" w:hAnsi="Arial"/>
          <w:sz w:val="19"/>
          <w:szCs w:val="19"/>
          <w:color w:val="auto"/>
        </w:rPr>
        <w:t xml:space="preserve"> It is the intent of the Company that the Executive not be required to incur legal fees and the related expenses associated with the interpretation, enforcement or defense of Executive’s rights in connection with any dispute arising under this Agreement because the cost and expense thereof would substantially detract from the benefits intended to be extended to the Executive hereunder. Accordingly, if it should appear to the Executive that the Company has failed to comply with any of its obligations under this Agreement or in the event that the Company or any other person takes or threatens to take any action to declare this Agreement void or unenforceable, or institutes any proceeding designed to deny, or to recover from, the Executive the benefits provided or intended to be provided to the Executive hereunder, the Company irrevocably authorizes the Executive from time to time to retain counsel of Executive’s choice, at the expense of the Company as hereafter provided, to advise and represent the Executive in connection with any such dispute or proceeding. Without respect to whether the Executive prevails, in whole or in part, in connection with any of the foregoing, the Company will pay and be solely financially responsible for any and all reasonable attorneys’ and related fees and expenses incurred by the Executive in connection with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regard to such matters, the Executive has not acted in bad faith or with no colorable claim of success. The Executive shall promptly submit a written request for reimbursement of such expenses, but in no event later than ninety days following the date on which such expenses were incurred, accompanied by such evidence of fees and expenses incurred as the Company may reasonably require, and such reimbursements will be made within thirty business days after delivery of the Executive’s written requests for payment. For the avoidance of doubt, (i) the amount of expenses eligible for reimbursement provided to the Executive during any calendar year will not affect the amount of expenses eligible for reimbursement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may not be liquidated or exchanged for any other benefit.</w:t>
      </w:r>
    </w:p>
    <w:p>
      <w:pPr>
        <w:spacing w:after="0" w:line="200" w:lineRule="exact"/>
        <w:rPr>
          <w:rFonts w:ascii="Arial" w:cs="Arial" w:eastAsia="Arial" w:hAnsi="Arial"/>
          <w:sz w:val="19"/>
          <w:szCs w:val="19"/>
          <w:color w:val="auto"/>
        </w:rPr>
      </w:pPr>
    </w:p>
    <w:p>
      <w:pPr>
        <w:spacing w:after="0" w:line="268" w:lineRule="exact"/>
        <w:rPr>
          <w:rFonts w:ascii="Arial" w:cs="Arial" w:eastAsia="Arial" w:hAnsi="Arial"/>
          <w:sz w:val="19"/>
          <w:szCs w:val="19"/>
          <w:color w:val="auto"/>
        </w:rPr>
      </w:pPr>
    </w:p>
    <w:p>
      <w:pPr>
        <w:ind w:left="1960" w:right="320" w:hanging="655"/>
        <w:spacing w:after="0" w:line="263" w:lineRule="auto"/>
        <w:tabs>
          <w:tab w:leader="none" w:pos="19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Competitive Activity; Confidentiality; Nonsolicitation.</w:t>
      </w:r>
      <w:r>
        <w:rPr>
          <w:rFonts w:ascii="Arial" w:cs="Arial" w:eastAsia="Arial" w:hAnsi="Arial"/>
          <w:sz w:val="22"/>
          <w:szCs w:val="22"/>
          <w:color w:val="auto"/>
        </w:rPr>
        <w:t xml:space="preserve"> (a) For the period following the Termination Date specified in Paragraph (4) of</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91" w:right="279" w:bottom="1440" w:gutter="0" w:footer="0" w:header="0"/>
        </w:sectPr>
      </w:pPr>
    </w:p>
    <w:bookmarkStart w:id="75" w:name="page76"/>
    <w:bookmarkEnd w:id="75"/>
    <w:p>
      <w:pPr>
        <w:ind w:left="1940" w:right="100"/>
        <w:spacing w:after="0" w:line="253" w:lineRule="auto"/>
        <w:rPr>
          <w:sz w:val="20"/>
          <w:szCs w:val="20"/>
          <w:color w:val="auto"/>
        </w:rPr>
      </w:pPr>
      <w:r>
        <w:rPr>
          <w:rFonts w:ascii="Arial" w:cs="Arial" w:eastAsia="Arial" w:hAnsi="Arial"/>
          <w:sz w:val="22"/>
          <w:szCs w:val="22"/>
          <w:color w:val="auto"/>
        </w:rPr>
        <w:t>Annex A (the “Non-Competition Period”), subject to the Executive’s receipt of benefits under Section 4, the Executive will not, without the prior written consent of the Company, which consent will not be unreasonably withheld, engage in any Competitive Activity.</w:t>
      </w:r>
    </w:p>
    <w:p>
      <w:pPr>
        <w:spacing w:after="0" w:line="226" w:lineRule="exact"/>
        <w:rPr>
          <w:sz w:val="20"/>
          <w:szCs w:val="20"/>
          <w:color w:val="auto"/>
        </w:rPr>
      </w:pPr>
    </w:p>
    <w:p>
      <w:pPr>
        <w:ind w:left="-20" w:right="140" w:firstLine="1953"/>
        <w:spacing w:after="0" w:line="286" w:lineRule="auto"/>
        <w:tabs>
          <w:tab w:leader="none" w:pos="2231"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Company agrees that it will disclose to Executive its confidential or proprietary information (as defined in this Section (b)) to the extent necessary for Executive to carry out Executive’s obligations to the Company. The Executive hereby covenants and agrees that, subject to Section 6(a), Executive will not, without the prior written consent of the Company, during the term of his employment with the Company and two years after the Termination Date disclose to any person not employed by the Company, or use in connection with engaging in competition with the Company, any confidential or proprietary information of the Company. For purposes of this Agreement, the term “confidential or proprietary information” will include all information of any nature and in any form that is owned by the Company and that is not publicly available (other than by Executive’s breach of this Section 9(b)) or generally known to persons engaged in businesses similar or related to those of the Company. Confidential or proprietary information will include, without limitation, the Company’s financial matters, customers, employees, industry contracts, strategic business plans, product development (or other proprietary product data), marketing plans, and all other secrets and all other information of a confidential or proprietary nature. For purposes of the preceding two sentences, the term “Company” will also include any Subsidiary (collectively, the “Restricted Group”). The obligations imposed by this Section 9(b) will be subject to Section 6(a) and will not apply (i) during the term of his employment with the Company, in the course of the business of and for the benefit of the Company and (ii) if such confidential or proprietary information has become, through no fault of the Executive, generally known to the public.</w:t>
      </w:r>
    </w:p>
    <w:p>
      <w:pPr>
        <w:spacing w:after="0" w:line="200" w:lineRule="exact"/>
        <w:rPr>
          <w:rFonts w:ascii="Arial" w:cs="Arial" w:eastAsia="Arial" w:hAnsi="Arial"/>
          <w:sz w:val="19"/>
          <w:szCs w:val="19"/>
          <w:color w:val="auto"/>
        </w:rPr>
      </w:pPr>
    </w:p>
    <w:p>
      <w:pPr>
        <w:ind w:left="-20" w:right="20" w:firstLine="1953"/>
        <w:spacing w:after="0" w:line="297" w:lineRule="auto"/>
        <w:tabs>
          <w:tab w:leader="none" w:pos="2219"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Executive hereby covenants and agrees that, for a period ending one year after the Termination Date, Executive will not, without the prior written consent of the Company, which consent will not unreasonably be withheld as to Executive’s personal assistant, on behalf of Executive or on behalf of any person, firm or company, directly or indirectly, attempt to influence, persuade or induce, or assist any other person in so persuading or inducing, any employee of the Restricted Group to give up, or to not commence, employment or a business relationship with the Restricted Group.</w:t>
      </w:r>
    </w:p>
    <w:p>
      <w:pPr>
        <w:spacing w:after="0" w:line="187" w:lineRule="exact"/>
        <w:rPr>
          <w:rFonts w:ascii="Arial" w:cs="Arial" w:eastAsia="Arial" w:hAnsi="Arial"/>
          <w:sz w:val="19"/>
          <w:szCs w:val="19"/>
          <w:color w:val="auto"/>
        </w:rPr>
      </w:pPr>
    </w:p>
    <w:p>
      <w:pPr>
        <w:ind w:left="-20" w:firstLine="1953"/>
        <w:spacing w:after="0" w:line="259" w:lineRule="auto"/>
        <w:tabs>
          <w:tab w:leader="none" w:pos="2231" w:val="left"/>
        </w:tabs>
        <w:numPr>
          <w:ilvl w:val="0"/>
          <w:numId w:val="51"/>
        </w:numPr>
        <w:rPr>
          <w:rFonts w:ascii="Arial" w:cs="Arial" w:eastAsia="Arial" w:hAnsi="Arial"/>
          <w:sz w:val="21"/>
          <w:szCs w:val="21"/>
          <w:color w:val="auto"/>
        </w:rPr>
      </w:pPr>
      <w:r>
        <w:rPr>
          <w:rFonts w:ascii="Arial" w:cs="Arial" w:eastAsia="Arial" w:hAnsi="Arial"/>
          <w:sz w:val="21"/>
          <w:szCs w:val="21"/>
          <w:color w:val="auto"/>
        </w:rPr>
        <w:t>Executive and the Company agree that the covenants contained in this Section 9 are reasonable under the circumstances and subject to the provisions of Section 15 of this Agreement. Executive acknowledges and agrees that the remedy at law available to the Company for breach of any of Executive’s obligations under this Section 9 would be inadequate and that damages flowing from such a breach may not readily be susceptible to being measured in monetary terms. Accordingly, Executive acknowledges, consents and agrees that, in addition to any other rights or remedies that the Company may have at law, in equity or under this Agreement, upon adequate proof of Executive’s violation of any such provision of this Agreement, the Company will be entitled to immediate injunctive relief and may obtain a temporary order restraining any threatened or further breach, without the necessity of proof of actual damage.</w:t>
      </w:r>
    </w:p>
    <w:p>
      <w:pPr>
        <w:spacing w:after="0" w:line="225" w:lineRule="exact"/>
        <w:rPr>
          <w:sz w:val="20"/>
          <w:szCs w:val="20"/>
          <w:color w:val="auto"/>
        </w:rPr>
      </w:pPr>
    </w:p>
    <w:p>
      <w:pPr>
        <w:ind w:left="1940" w:hanging="655"/>
        <w:spacing w:after="0" w:line="263" w:lineRule="auto"/>
        <w:tabs>
          <w:tab w:leader="none" w:pos="194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Employment Rights</w:t>
      </w:r>
      <w:r>
        <w:rPr>
          <w:rFonts w:ascii="Arial" w:cs="Arial" w:eastAsia="Arial" w:hAnsi="Arial"/>
          <w:sz w:val="22"/>
          <w:szCs w:val="22"/>
          <w:color w:val="auto"/>
        </w:rPr>
        <w:t>. Nothing expressed or implied in this Agreement will create any right or duty on the part of the Company or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591" w:right="259" w:bottom="1440" w:gutter="0" w:footer="0" w:header="0"/>
        </w:sectPr>
      </w:pPr>
    </w:p>
    <w:bookmarkStart w:id="76" w:name="page77"/>
    <w:bookmarkEnd w:id="76"/>
    <w:p>
      <w:pPr>
        <w:ind w:left="1940" w:right="400"/>
        <w:spacing w:after="0" w:line="263" w:lineRule="auto"/>
        <w:rPr>
          <w:sz w:val="20"/>
          <w:szCs w:val="20"/>
          <w:color w:val="auto"/>
        </w:rPr>
      </w:pPr>
      <w:r>
        <w:rPr>
          <w:rFonts w:ascii="Arial" w:cs="Arial" w:eastAsia="Arial" w:hAnsi="Arial"/>
          <w:sz w:val="22"/>
          <w:szCs w:val="22"/>
          <w:color w:val="auto"/>
        </w:rPr>
        <w:t>Executive to have the Executive remain in the employment of the Company or any Subsidiary prior to or following any Change in Control.</w:t>
      </w:r>
    </w:p>
    <w:p>
      <w:pPr>
        <w:spacing w:after="0" w:line="215" w:lineRule="exact"/>
        <w:rPr>
          <w:sz w:val="20"/>
          <w:szCs w:val="20"/>
          <w:color w:val="auto"/>
        </w:rPr>
      </w:pPr>
    </w:p>
    <w:p>
      <w:pPr>
        <w:jc w:val="both"/>
        <w:ind w:left="1940" w:right="460" w:hanging="655"/>
        <w:spacing w:after="0" w:line="253" w:lineRule="auto"/>
        <w:tabs>
          <w:tab w:leader="none" w:pos="194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Withholding of Taxes</w:t>
      </w:r>
      <w:r>
        <w:rPr>
          <w:rFonts w:ascii="Arial" w:cs="Arial" w:eastAsia="Arial" w:hAnsi="Arial"/>
          <w:sz w:val="22"/>
          <w:szCs w:val="22"/>
          <w:color w:val="auto"/>
        </w:rPr>
        <w:t>. The Company may withhold from any amounts payable under this Agreement all federal, state, city or other taxes as the Company is required to withhold pursuant to any applicable law, regulation or ruling.</w:t>
      </w:r>
    </w:p>
    <w:p>
      <w:pPr>
        <w:spacing w:after="0" w:line="226" w:lineRule="exact"/>
        <w:rPr>
          <w:rFonts w:ascii="Arial" w:cs="Arial" w:eastAsia="Arial" w:hAnsi="Arial"/>
          <w:sz w:val="22"/>
          <w:szCs w:val="22"/>
          <w:color w:val="auto"/>
        </w:rPr>
      </w:pPr>
    </w:p>
    <w:p>
      <w:pPr>
        <w:ind w:left="1940" w:hanging="655"/>
        <w:spacing w:after="0" w:line="288" w:lineRule="auto"/>
        <w:tabs>
          <w:tab w:leader="none" w:pos="194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Successors and Binding Agreement</w:t>
      </w:r>
      <w:r>
        <w:rPr>
          <w:rFonts w:ascii="Arial" w:cs="Arial" w:eastAsia="Arial" w:hAnsi="Arial"/>
          <w:sz w:val="19"/>
          <w:szCs w:val="19"/>
          <w:color w:val="auto"/>
        </w:rPr>
        <w:t>. (a) The Company will require any successor (whether direct or indirect, by purchase, merger, consolidation, reorganization or otherwise) to all or substantially all of the business or assets of the Company, by agreement in form and substance reasonably satisfactory to the Executive (to the extent not assumed by operation of law),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 but will not otherwise be assignable, transferable or delegable by the Company.</w:t>
      </w:r>
    </w:p>
    <w:p>
      <w:pPr>
        <w:spacing w:after="0" w:line="200" w:lineRule="exact"/>
        <w:rPr>
          <w:rFonts w:ascii="Arial" w:cs="Arial" w:eastAsia="Arial" w:hAnsi="Arial"/>
          <w:sz w:val="19"/>
          <w:szCs w:val="19"/>
          <w:color w:val="auto"/>
        </w:rPr>
      </w:pPr>
    </w:p>
    <w:p>
      <w:pPr>
        <w:ind w:left="-20" w:right="620" w:firstLine="1953"/>
        <w:spacing w:after="0" w:line="251" w:lineRule="auto"/>
        <w:tabs>
          <w:tab w:leader="none" w:pos="2231"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This Agreement will inure to the benefit of and be enforceable by the Executive’s personal or legal representatives, executors, administrators, successors, heirs, distributees and legatees.</w:t>
      </w:r>
    </w:p>
    <w:p>
      <w:pPr>
        <w:spacing w:after="0" w:line="2" w:lineRule="exact"/>
        <w:rPr>
          <w:rFonts w:ascii="Arial" w:cs="Arial" w:eastAsia="Arial" w:hAnsi="Arial"/>
          <w:sz w:val="22"/>
          <w:szCs w:val="22"/>
          <w:color w:val="auto"/>
        </w:rPr>
      </w:pPr>
    </w:p>
    <w:p>
      <w:pPr>
        <w:ind w:left="-20" w:right="60" w:firstLine="1953"/>
        <w:spacing w:after="0" w:line="290" w:lineRule="auto"/>
        <w:tabs>
          <w:tab w:leader="none" w:pos="2219"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This Agreement is personal in nature and neither of the parties hereto will, without the consent of the other, assign, transfer or delegate this Agreement or any rights or obligations hereunder except as expressly provided in Sections 12(a) and 12(b). Without limiting the generality or effect of the foregoing, the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12(c), the Company will have no liability to pay any amount so attempted to be assigned, transferred or delegated.</w:t>
      </w:r>
    </w:p>
    <w:p>
      <w:pPr>
        <w:spacing w:after="0" w:line="194" w:lineRule="exact"/>
        <w:rPr>
          <w:rFonts w:ascii="Arial" w:cs="Arial" w:eastAsia="Arial" w:hAnsi="Arial"/>
          <w:sz w:val="19"/>
          <w:szCs w:val="19"/>
          <w:color w:val="auto"/>
        </w:rPr>
      </w:pPr>
    </w:p>
    <w:p>
      <w:pPr>
        <w:ind w:left="1940" w:right="340" w:hanging="655"/>
        <w:spacing w:after="0" w:line="292" w:lineRule="auto"/>
        <w:tabs>
          <w:tab w:leader="none" w:pos="194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or UPS, addressed to the Company (to the attention of the Secretary of the Company) at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591" w:right="239" w:bottom="1440" w:gutter="0" w:footer="0" w:header="0"/>
        </w:sectPr>
      </w:pPr>
    </w:p>
    <w:bookmarkStart w:id="77" w:name="page78"/>
    <w:bookmarkEnd w:id="77"/>
    <w:p>
      <w:pPr>
        <w:ind w:left="760" w:right="60"/>
        <w:spacing w:after="0" w:line="253" w:lineRule="auto"/>
        <w:rPr>
          <w:sz w:val="20"/>
          <w:szCs w:val="20"/>
          <w:color w:val="auto"/>
        </w:rPr>
      </w:pPr>
      <w:r>
        <w:rPr>
          <w:rFonts w:ascii="Arial" w:cs="Arial" w:eastAsia="Arial" w:hAnsi="Arial"/>
          <w:sz w:val="22"/>
          <w:szCs w:val="22"/>
          <w:color w:val="auto"/>
        </w:rPr>
        <w:t>its principal executive office and to the Executive at Executive’s principal residence, or to such other address as any party may have furnished to the other in writing and in accordance herewith, except that notices of changes of address will be effective only upon receipt.</w:t>
      </w:r>
    </w:p>
    <w:p>
      <w:pPr>
        <w:spacing w:after="0" w:line="226" w:lineRule="exact"/>
        <w:rPr>
          <w:sz w:val="20"/>
          <w:szCs w:val="20"/>
          <w:color w:val="auto"/>
        </w:rPr>
      </w:pPr>
    </w:p>
    <w:p>
      <w:pPr>
        <w:ind w:left="760" w:right="60" w:hanging="655"/>
        <w:spacing w:after="0" w:line="246" w:lineRule="auto"/>
        <w:tabs>
          <w:tab w:leader="none" w:pos="7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interpretation, construction and performance of this Agreement will be governed by and construed in accordance with the substantive laws of the State of Delaware and federal law, without giving effect to the principles of conflict of laws of such State, except as expressly provided herein. In the event the Company exercises its discretion under Section 9(d) to bring an action to enforce the covenants contained in Section 9 in a court of competent jurisdiction where the Executive has breached or threatened to breach such covenants, and in no other event, the parties agree that the court may apply the law of the jurisdiction in which such action is pending in order to enforce the covenants to the fullest extent permissible.</w:t>
      </w:r>
    </w:p>
    <w:p>
      <w:pPr>
        <w:spacing w:after="0" w:line="235" w:lineRule="exact"/>
        <w:rPr>
          <w:rFonts w:ascii="Arial" w:cs="Arial" w:eastAsia="Arial" w:hAnsi="Arial"/>
          <w:sz w:val="22"/>
          <w:szCs w:val="22"/>
          <w:color w:val="auto"/>
        </w:rPr>
      </w:pPr>
    </w:p>
    <w:p>
      <w:pPr>
        <w:ind w:left="760" w:hanging="655"/>
        <w:spacing w:after="0" w:line="259" w:lineRule="auto"/>
        <w:tabs>
          <w:tab w:leader="none" w:pos="760"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Validity</w:t>
      </w:r>
      <w:r>
        <w:rPr>
          <w:rFonts w:ascii="Arial" w:cs="Arial" w:eastAsia="Arial" w:hAnsi="Arial"/>
          <w:sz w:val="21"/>
          <w:szCs w:val="21"/>
          <w:color w:val="auto"/>
        </w:rPr>
        <w:t>. If any provision of this Agreement or the application of any provision hereof to any person or circumstance is held invalid, unenforceable or otherwise illegal, including without limitation Section 9, the remainder of this Agreement and the application of such provision to any other person or circumstance will not be affected, and the provision so held to be invalid, unenforceable or otherwise illegal will be reformed to the extent (and only to the extent) necessary to make it enforceable, valid or legal. If any covenant in Section 9 should be deemed invalid, illegal or unenforceable because its time, geographical area, or restricted activity, is considered excessive, such covenant will be modified to the minimum extent necessary to render the modified covenant valid, legal and enforceable.</w:t>
      </w:r>
    </w:p>
    <w:p>
      <w:pPr>
        <w:spacing w:after="0" w:line="224" w:lineRule="exact"/>
        <w:rPr>
          <w:rFonts w:ascii="Arial" w:cs="Arial" w:eastAsia="Arial" w:hAnsi="Arial"/>
          <w:sz w:val="21"/>
          <w:szCs w:val="21"/>
          <w:color w:val="auto"/>
        </w:rPr>
      </w:pPr>
    </w:p>
    <w:p>
      <w:pPr>
        <w:ind w:left="760" w:right="100" w:hanging="655"/>
        <w:spacing w:after="0" w:line="287" w:lineRule="auto"/>
        <w:tabs>
          <w:tab w:leader="none" w:pos="76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The headings used in this Agreement are intended for convenience or reference only and will not in any manner amplify, limit, modify or otherwise be used in the construction or interpretation of any provision of this Agreement. References to Sections are to Sections of this Agreement. References to Paragraphs are to Paragraphs of an Annex to this Agreement. Any reference in this Agreement to a provision of a statute, rule or regulation will also include any successor provision thereto.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591" w:right="239" w:bottom="1440" w:gutter="0" w:footer="0" w:header="0"/>
        </w:sectPr>
      </w:pPr>
    </w:p>
    <w:bookmarkStart w:id="78" w:name="page79"/>
    <w:bookmarkEnd w:id="78"/>
    <w:p>
      <w:pPr>
        <w:ind w:left="760" w:right="100" w:hanging="655"/>
        <w:spacing w:after="0" w:line="250" w:lineRule="auto"/>
        <w:tabs>
          <w:tab w:leader="none" w:pos="7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provision of this Agreement to the contrary, the parties’ respective rights and obligations under Sections 3(c), 4, 5, 6, 7, 8, 9, 10, 11, 12(b), 17 and 19 will survive any termination or expiration of this Agreement or the termination of the Executive’s employment following a Change in Control for any reason whatsoever.</w:t>
      </w:r>
    </w:p>
    <w:p>
      <w:pPr>
        <w:spacing w:after="0" w:line="228" w:lineRule="exact"/>
        <w:rPr>
          <w:rFonts w:ascii="Arial" w:cs="Arial" w:eastAsia="Arial" w:hAnsi="Arial"/>
          <w:sz w:val="22"/>
          <w:szCs w:val="22"/>
          <w:color w:val="auto"/>
        </w:rPr>
      </w:pPr>
    </w:p>
    <w:p>
      <w:pPr>
        <w:ind w:left="760" w:hanging="655"/>
        <w:spacing w:after="0" w:line="294" w:lineRule="auto"/>
        <w:tabs>
          <w:tab w:leader="none" w:pos="76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Beneficiaries</w:t>
      </w:r>
      <w:r>
        <w:rPr>
          <w:rFonts w:ascii="Arial" w:cs="Arial" w:eastAsia="Arial" w:hAnsi="Arial"/>
          <w:sz w:val="19"/>
          <w:szCs w:val="19"/>
          <w:color w:val="auto"/>
        </w:rPr>
        <w:t>. The Executive will be entitled to select (and change, to the extent permitted under any applicable law) a beneficiary or beneficiaries to receive any compensation or benefit payable hereunder following the Executive’s death, and may change such election, in either case by giving the Company written notice thereof in accordance with Section 13. In the event of the Executive’s death or a judicial determination of the Executive’s incompetence, reference in this Agreement to the “Executive” will be deemed, where appropriate, to the Executive’s beneficiary, estate or other legal representative.</w:t>
      </w:r>
    </w:p>
    <w:p>
      <w:pPr>
        <w:spacing w:after="0" w:line="190" w:lineRule="exact"/>
        <w:rPr>
          <w:rFonts w:ascii="Arial" w:cs="Arial" w:eastAsia="Arial" w:hAnsi="Arial"/>
          <w:sz w:val="19"/>
          <w:szCs w:val="19"/>
          <w:color w:val="auto"/>
        </w:rPr>
      </w:pPr>
    </w:p>
    <w:p>
      <w:pPr>
        <w:ind w:left="760" w:right="180" w:hanging="655"/>
        <w:spacing w:after="0" w:line="287" w:lineRule="auto"/>
        <w:tabs>
          <w:tab w:leader="none" w:pos="76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each of which will be deemed to be an original but all of which together will constitute one and the same agreement.</w:t>
      </w:r>
    </w:p>
    <w:p>
      <w:pPr>
        <w:spacing w:after="0" w:line="192" w:lineRule="exact"/>
        <w:rPr>
          <w:rFonts w:ascii="Arial" w:cs="Arial" w:eastAsia="Arial" w:hAnsi="Arial"/>
          <w:sz w:val="21"/>
          <w:szCs w:val="21"/>
          <w:color w:val="auto"/>
        </w:rPr>
      </w:pPr>
    </w:p>
    <w:p>
      <w:pPr>
        <w:ind w:left="760" w:right="180" w:hanging="655"/>
        <w:spacing w:after="0" w:line="297" w:lineRule="auto"/>
        <w:tabs>
          <w:tab w:leader="none" w:pos="76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To the extent applicable, it is intended that this Agreement comply with the provisions of Section 409A. This Agreement will be administered in a manner consistent with this intent, and any provision that would cause the Agreement to fail to satisfy Section 409A will have no force and effect until amended to comply with Section 409A (which amendment may be retroactive to the extent permitted by Section 409A and may be made by the Company without the consent of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00"/>
          </w:cols>
          <w:pgMar w:left="1440" w:top="591" w:right="259" w:bottom="1440" w:gutter="0" w:footer="0" w:header="0"/>
        </w:sectPr>
      </w:pPr>
    </w:p>
    <w:bookmarkStart w:id="79" w:name="page80"/>
    <w:bookmarkEnd w:id="79"/>
    <w:p>
      <w:pPr>
        <w:spacing w:after="0" w:line="263" w:lineRule="auto"/>
        <w:rPr>
          <w:sz w:val="20"/>
          <w:szCs w:val="20"/>
          <w:color w:val="auto"/>
        </w:rPr>
      </w:pPr>
      <w:r>
        <w:rPr>
          <w:rFonts w:ascii="Arial" w:cs="Arial" w:eastAsia="Arial" w:hAnsi="Arial"/>
          <w:sz w:val="22"/>
          <w:szCs w:val="22"/>
          <w:color w:val="auto"/>
        </w:rPr>
        <w:t>IN WITNESS WHEREOF, the parties have caused this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b w:val="1"/>
          <w:bCs w:val="1"/>
          <w:color w:val="auto"/>
        </w:rPr>
        <w:t>Executive:</w:t>
      </w:r>
      <w:r>
        <w:rPr>
          <w:sz w:val="20"/>
          <w:szCs w:val="20"/>
          <w:color w:val="auto"/>
        </w:rPr>
        <w:tab/>
      </w:r>
      <w:r>
        <w:rPr>
          <w:rFonts w:ascii="Arial" w:cs="Arial" w:eastAsia="Arial" w:hAnsi="Arial"/>
          <w:sz w:val="19"/>
          <w:szCs w:val="19"/>
          <w:b w:val="1"/>
          <w:bCs w:val="1"/>
          <w:color w:val="auto"/>
        </w:rPr>
        <w:t>Andrea Newborn</w:t>
      </w:r>
    </w:p>
    <w:p>
      <w:pPr>
        <w:spacing w:after="0" w:line="347" w:lineRule="exact"/>
        <w:rPr>
          <w:sz w:val="20"/>
          <w:szCs w:val="20"/>
          <w:color w:val="auto"/>
        </w:rPr>
      </w:pPr>
    </w:p>
    <w:p>
      <w:pPr>
        <w:ind w:left="1980"/>
        <w:spacing w:after="0"/>
        <w:tabs>
          <w:tab w:leader="none" w:pos="3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u w:val="single" w:color="auto"/>
          <w:color w:val="auto"/>
        </w:rPr>
        <w:t>/s/ Andrea Newborn</w:t>
      </w:r>
    </w:p>
    <w:p>
      <w:pPr>
        <w:spacing w:after="0" w:line="233" w:lineRule="exact"/>
        <w:rPr>
          <w:sz w:val="20"/>
          <w:szCs w:val="20"/>
          <w:color w:val="auto"/>
        </w:rPr>
      </w:pPr>
    </w:p>
    <w:p>
      <w:pPr>
        <w:ind w:left="1980"/>
        <w:spacing w:after="0"/>
        <w:tabs>
          <w:tab w:leader="none" w:pos="28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3/1/2018</w:t>
      </w:r>
    </w:p>
    <w:p>
      <w:pPr>
        <w:spacing w:after="0" w:line="335" w:lineRule="exact"/>
        <w:rPr>
          <w:sz w:val="20"/>
          <w:szCs w:val="20"/>
          <w:color w:val="auto"/>
        </w:rPr>
      </w:pPr>
    </w:p>
    <w:p>
      <w:pPr>
        <w:ind w:left="720"/>
        <w:spacing w:after="0"/>
        <w:tabs>
          <w:tab w:leader="none" w:pos="184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19"/>
          <w:szCs w:val="19"/>
          <w:b w:val="1"/>
          <w:bCs w:val="1"/>
          <w:color w:val="auto"/>
        </w:rPr>
        <w:t>ABM Industries Incorporated</w:t>
      </w:r>
    </w:p>
    <w:p>
      <w:pPr>
        <w:spacing w:after="0" w:line="200" w:lineRule="exact"/>
        <w:rPr>
          <w:sz w:val="20"/>
          <w:szCs w:val="20"/>
          <w:color w:val="auto"/>
        </w:rPr>
      </w:pPr>
    </w:p>
    <w:p>
      <w:pPr>
        <w:spacing w:after="0" w:line="255" w:lineRule="exact"/>
        <w:rPr>
          <w:sz w:val="20"/>
          <w:szCs w:val="20"/>
          <w:color w:val="auto"/>
        </w:rPr>
      </w:pPr>
    </w:p>
    <w:p>
      <w:pPr>
        <w:ind w:left="2000"/>
        <w:spacing w:after="0"/>
        <w:tabs>
          <w:tab w:leader="none" w:pos="31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u w:val="single" w:color="auto"/>
          <w:color w:val="auto"/>
        </w:rPr>
        <w:t>/s/ David R. Goodes</w:t>
      </w:r>
    </w:p>
    <w:p>
      <w:pPr>
        <w:spacing w:after="0" w:line="200" w:lineRule="exact"/>
        <w:rPr>
          <w:sz w:val="20"/>
          <w:szCs w:val="20"/>
          <w:color w:val="auto"/>
        </w:rPr>
      </w:pPr>
    </w:p>
    <w:p>
      <w:pPr>
        <w:spacing w:after="0" w:line="249"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 xml:space="preserve">Name, Title: </w:t>
      </w:r>
      <w:r>
        <w:rPr>
          <w:rFonts w:ascii="Arial" w:cs="Arial" w:eastAsia="Arial" w:hAnsi="Arial"/>
          <w:sz w:val="22"/>
          <w:szCs w:val="22"/>
          <w:u w:val="single" w:color="auto"/>
          <w:color w:val="auto"/>
        </w:rPr>
        <w:t>David R. Goodes, Chief Human Resources Officer</w:t>
      </w:r>
    </w:p>
    <w:p>
      <w:pPr>
        <w:spacing w:after="0" w:line="200" w:lineRule="exact"/>
        <w:rPr>
          <w:sz w:val="20"/>
          <w:szCs w:val="20"/>
          <w:color w:val="auto"/>
        </w:rPr>
      </w:pPr>
    </w:p>
    <w:p>
      <w:pPr>
        <w:spacing w:after="0" w:line="249" w:lineRule="exact"/>
        <w:rPr>
          <w:sz w:val="20"/>
          <w:szCs w:val="20"/>
          <w:color w:val="auto"/>
        </w:rPr>
      </w:pPr>
    </w:p>
    <w:p>
      <w:pPr>
        <w:ind w:left="2000"/>
        <w:spacing w:after="0"/>
        <w:tabs>
          <w:tab w:leader="none" w:pos="28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3/1/2018</w:t>
      </w:r>
    </w:p>
    <w:p>
      <w:pPr>
        <w:sectPr>
          <w:pgSz w:w="11900" w:h="16838" w:orient="portrait"/>
          <w:cols w:equalWidth="0" w:num="1">
            <w:col w:w="10940"/>
          </w:cols>
          <w:pgMar w:left="240" w:top="59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40"/>
          </w:cols>
          <w:pgMar w:left="240" w:top="591" w:right="71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COMPENSATION, ETC.</w:t>
      </w:r>
    </w:p>
    <w:p>
      <w:pPr>
        <w:spacing w:after="0" w:line="226" w:lineRule="exact"/>
        <w:rPr>
          <w:sz w:val="20"/>
          <w:szCs w:val="20"/>
          <w:color w:val="auto"/>
        </w:rPr>
      </w:pPr>
    </w:p>
    <w:p>
      <w:pPr>
        <w:ind w:right="40" w:firstLine="332"/>
        <w:spacing w:after="0" w:line="265" w:lineRule="auto"/>
        <w:tabs>
          <w:tab w:leader="none" w:pos="900" w:val="left"/>
        </w:tabs>
        <w:numPr>
          <w:ilvl w:val="0"/>
          <w:numId w:val="56"/>
        </w:numPr>
        <w:rPr>
          <w:rFonts w:ascii="Arial" w:cs="Arial" w:eastAsia="Arial" w:hAnsi="Arial"/>
          <w:sz w:val="21"/>
          <w:szCs w:val="21"/>
          <w:color w:val="auto"/>
        </w:rPr>
      </w:pPr>
      <w:r>
        <w:rPr>
          <w:rFonts w:ascii="Arial" w:cs="Arial" w:eastAsia="Arial" w:hAnsi="Arial"/>
          <w:sz w:val="21"/>
          <w:szCs w:val="21"/>
          <w:color w:val="auto"/>
        </w:rPr>
        <w:t>A lump sum payment in an amount equal to two and one-half (2.5) times the sum of (A) Base Pay (at the rate in effect for the year in which the Termination Date occurs), plus (B) Incentive Pay Target (or, if the Incentive Pay Target shall not have been established or shall be reduced after a Change in Control, the highest aggregate Incentive Pay Target as in effect for any of the three fiscal years immediately preceding the year in which the Change in Control occurred).</w:t>
      </w:r>
    </w:p>
    <w:p>
      <w:pPr>
        <w:spacing w:after="0" w:line="216" w:lineRule="exact"/>
        <w:rPr>
          <w:rFonts w:ascii="Arial" w:cs="Arial" w:eastAsia="Arial" w:hAnsi="Arial"/>
          <w:sz w:val="21"/>
          <w:szCs w:val="21"/>
          <w:color w:val="auto"/>
        </w:rPr>
      </w:pPr>
    </w:p>
    <w:p>
      <w:pPr>
        <w:jc w:val="both"/>
        <w:ind w:right="20" w:firstLine="332"/>
        <w:spacing w:after="0" w:line="265" w:lineRule="auto"/>
        <w:tabs>
          <w:tab w:leader="none" w:pos="900"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Executive’s then-outstanding equity-based awards under the Equity Plan (including any awards issued by an acquirer or successor to the Company in exchange or substitution for such awards) will not be forfeited but will become fully vested;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performance awards with respect to then-ongoing performance periods shall be vested with respect to the number of shares that would have become earned and vested if the target level of performance was met.</w:t>
      </w:r>
    </w:p>
    <w:p>
      <w:pPr>
        <w:spacing w:after="0" w:line="216" w:lineRule="exact"/>
        <w:rPr>
          <w:rFonts w:ascii="Arial" w:cs="Arial" w:eastAsia="Arial" w:hAnsi="Arial"/>
          <w:sz w:val="21"/>
          <w:szCs w:val="21"/>
          <w:color w:val="auto"/>
        </w:rPr>
      </w:pPr>
    </w:p>
    <w:p>
      <w:pPr>
        <w:ind w:right="100" w:firstLine="332"/>
        <w:spacing w:after="0" w:line="259" w:lineRule="auto"/>
        <w:tabs>
          <w:tab w:leader="none" w:pos="900" w:val="left"/>
        </w:tabs>
        <w:numPr>
          <w:ilvl w:val="0"/>
          <w:numId w:val="56"/>
        </w:numPr>
        <w:rPr>
          <w:rFonts w:ascii="Arial" w:cs="Arial" w:eastAsia="Arial" w:hAnsi="Arial"/>
          <w:sz w:val="21"/>
          <w:szCs w:val="21"/>
          <w:color w:val="auto"/>
        </w:rPr>
      </w:pPr>
      <w:r>
        <w:rPr>
          <w:rFonts w:ascii="Arial" w:cs="Arial" w:eastAsia="Arial" w:hAnsi="Arial"/>
          <w:sz w:val="21"/>
          <w:szCs w:val="21"/>
          <w:color w:val="auto"/>
        </w:rPr>
        <w:t>In lieu of providing any continuation of Welfare Benefits to the Executive and his or her dependents following the Termination Date (</w:t>
      </w:r>
      <w:r>
        <w:rPr>
          <w:rFonts w:ascii="Arial" w:cs="Arial" w:eastAsia="Arial" w:hAnsi="Arial"/>
          <w:sz w:val="21"/>
          <w:szCs w:val="21"/>
          <w:i w:val="1"/>
          <w:iCs w:val="1"/>
          <w:color w:val="auto"/>
        </w:rPr>
        <w:t>it being understood</w:t>
      </w:r>
      <w:r>
        <w:rPr>
          <w:rFonts w:ascii="Arial" w:cs="Arial" w:eastAsia="Arial" w:hAnsi="Arial"/>
          <w:sz w:val="21"/>
          <w:szCs w:val="21"/>
          <w:color w:val="auto"/>
        </w:rPr>
        <w:t xml:space="preserve"> that this is not intended to supersede any right of the Executive and his or her dependents to COBRA continuation following the Termination Date), a lump sum payment in an amount equal to the present value of such Welfare Benefits, if such Welfare Benefits were provided for a period of 18 months following the Termination Date. For purposes of the immediately preceding sentence, the value of such Welfare Benefits shall be measured immediately prior to the Termination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the extent applicable for purposes of calculating service or age to determine the value of such Welfare Benefits, assuming that the Executive had remained actively employed on a full-time basis for a period of 18 months following the Termination Date).</w:t>
      </w:r>
    </w:p>
    <w:p>
      <w:pPr>
        <w:spacing w:after="0" w:line="224" w:lineRule="exact"/>
        <w:rPr>
          <w:rFonts w:ascii="Arial" w:cs="Arial" w:eastAsia="Arial" w:hAnsi="Arial"/>
          <w:sz w:val="21"/>
          <w:szCs w:val="21"/>
          <w:color w:val="auto"/>
        </w:rPr>
      </w:pPr>
    </w:p>
    <w:p>
      <w:pPr>
        <w:ind w:left="900" w:hanging="568"/>
        <w:spacing w:after="0"/>
        <w:tabs>
          <w:tab w:leader="none" w:pos="9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Non-Competition Period contemplated by Section 9(a) will be 12 months from the Termination Date.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1420"/>
        <w:spacing w:after="0"/>
        <w:tabs>
          <w:tab w:leader="none" w:pos="6800" w:val="left"/>
        </w:tabs>
        <w:rPr>
          <w:sz w:val="20"/>
          <w:szCs w:val="20"/>
          <w:color w:val="auto"/>
        </w:rPr>
      </w:pPr>
      <w:r>
        <w:rPr>
          <w:rFonts w:ascii="Arial" w:cs="Arial" w:eastAsia="Arial" w:hAnsi="Arial"/>
          <w:sz w:val="18"/>
          <w:szCs w:val="18"/>
          <w:color w:val="auto"/>
        </w:rPr>
        <w:t>March 7, 2019</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Scott Salmirs</w:t>
      </w:r>
    </w:p>
    <w:p>
      <w:pPr>
        <w:ind w:left="68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7, 2019</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January 31, 2019,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7, 2019</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7, 2019</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606"/>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4"/>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4"/>
    </w:lvl>
  </w:abstractNum>
  <w:abstractNum w:abstractNumId="19">
    <w:nsid w:val="51EAD36B"/>
    <w:multiLevelType w:val="hybridMultilevel"/>
    <w:lvl w:ilvl="0">
      <w:lvlJc w:val="left"/>
      <w:lvlText w:val="%1."/>
      <w:numFmt w:val="decimal"/>
      <w:start w:val="5"/>
    </w:lvl>
  </w:abstractNum>
  <w:abstractNum w:abstractNumId="20">
    <w:nsid w:val="2D517796"/>
    <w:multiLevelType w:val="hybridMultilevel"/>
    <w:lvl w:ilvl="0">
      <w:lvlJc w:val="left"/>
      <w:lvlText w:val="(%1)"/>
      <w:numFmt w:val="lowerRoman"/>
      <w:start w:val="2"/>
    </w:lvl>
  </w:abstractNum>
  <w:abstractNum w:abstractNumId="21">
    <w:nsid w:val="580BD78F"/>
    <w:multiLevelType w:val="hybridMultilevel"/>
    <w:lvl w:ilvl="0">
      <w:lvlJc w:val="left"/>
      <w:lvlText w:val="%1."/>
      <w:numFmt w:val="decimal"/>
      <w:start w:val="6"/>
    </w:lvl>
    <w:lvl w:ilvl="1">
      <w:lvlJc w:val="left"/>
      <w:lvlText w:val="(%2)"/>
      <w:numFmt w:val="lowerRoman"/>
      <w:start w:val="7"/>
    </w:lvl>
  </w:abstractNum>
  <w:abstractNum w:abstractNumId="22">
    <w:nsid w:val="153EA438"/>
    <w:multiLevelType w:val="hybridMultilevel"/>
    <w:lvl w:ilvl="0">
      <w:lvlJc w:val="left"/>
      <w:lvlText w:val="(%1)"/>
      <w:numFmt w:val="decimal"/>
      <w:start w:val="30"/>
    </w:lvl>
  </w:abstractNum>
  <w:abstractNum w:abstractNumId="23">
    <w:nsid w:val="3855585C"/>
    <w:multiLevelType w:val="hybridMultilevel"/>
    <w:lvl w:ilvl="0">
      <w:lvlJc w:val="left"/>
      <w:lvlText w:val="%1."/>
      <w:numFmt w:val="decimal"/>
      <w:start w:val="8"/>
    </w:lvl>
  </w:abstractNum>
  <w:abstractNum w:abstractNumId="24">
    <w:nsid w:val="70A64E2A"/>
    <w:multiLevelType w:val="hybridMultilevel"/>
    <w:lvl w:ilvl="0">
      <w:lvlJc w:val="left"/>
      <w:lvlText w:val="%1."/>
      <w:numFmt w:val="decimal"/>
      <w:start w:val="9"/>
    </w:lvl>
  </w:abstractNum>
  <w:abstractNum w:abstractNumId="25">
    <w:nsid w:val="6A2342EC"/>
    <w:multiLevelType w:val="hybridMultilevel"/>
    <w:lvl w:ilvl="0">
      <w:lvlJc w:val="left"/>
      <w:lvlText w:val="%1."/>
      <w:numFmt w:val="upperLetter"/>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lowerLetter"/>
      <w:start w:val="2"/>
    </w:lvl>
  </w:abstractNum>
  <w:abstractNum w:abstractNumId="28">
    <w:nsid w:val="725A06F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9">
    <w:nsid w:val="2CD89A32"/>
    <w:multiLevelType w:val="hybridMultilevel"/>
    <w:lvl w:ilvl="0">
      <w:lvlJc w:val="left"/>
      <w:lvlText w:val="(%1)"/>
      <w:numFmt w:val="lowerLetter"/>
      <w:start w:val="4"/>
    </w:lvl>
  </w:abstractNum>
  <w:abstractNum w:abstractNumId="30">
    <w:nsid w:val="57E4CCAF"/>
    <w:multiLevelType w:val="hybridMultilevel"/>
    <w:lvl w:ilvl="0">
      <w:lvlJc w:val="left"/>
      <w:lvlText w:val="(%1)"/>
      <w:numFmt w:val="lowerRoman"/>
      <w:start w:val="1"/>
    </w:lvl>
  </w:abstractNum>
  <w:abstractNum w:abstractNumId="31">
    <w:nsid w:val="7A6D8D3C"/>
    <w:multiLevelType w:val="hybridMultilevel"/>
    <w:lvl w:ilvl="0">
      <w:lvlJc w:val="left"/>
      <w:lvlText w:val="(%1)"/>
      <w:numFmt w:val="lowerLetter"/>
      <w:start w:val="6"/>
    </w:lvl>
  </w:abstractNum>
  <w:abstractNum w:abstractNumId="32">
    <w:nsid w:val="4B588F54"/>
    <w:multiLevelType w:val="hybridMultilevel"/>
    <w:lvl w:ilvl="0">
      <w:lvlJc w:val="left"/>
      <w:lvlText w:val="(%1)"/>
      <w:numFmt w:val="lowerRoman"/>
      <w:start w:val="1"/>
    </w:lvl>
  </w:abstractNum>
  <w:abstractNum w:abstractNumId="33">
    <w:nsid w:val="542289EC"/>
    <w:multiLevelType w:val="hybridMultilevel"/>
    <w:lvl w:ilvl="0">
      <w:lvlJc w:val="left"/>
      <w:lvlText w:val="(%1)"/>
      <w:numFmt w:val="lowerRoman"/>
      <w:start w:val="2"/>
    </w:lvl>
  </w:abstractNum>
  <w:abstractNum w:abstractNumId="34">
    <w:nsid w:val="6DE91B18"/>
    <w:multiLevelType w:val="hybridMultilevel"/>
    <w:lvl w:ilvl="0">
      <w:lvlJc w:val="left"/>
      <w:lvlText w:val="(%1)"/>
      <w:numFmt w:val="lowerLetter"/>
      <w:start w:val="13"/>
    </w:lvl>
  </w:abstractNum>
  <w:abstractNum w:abstractNumId="35">
    <w:nsid w:val="38437FDB"/>
    <w:multiLevelType w:val="hybridMultilevel"/>
    <w:lvl w:ilvl="0">
      <w:lvlJc w:val="left"/>
      <w:lvlText w:val="(%1)"/>
      <w:numFmt w:val="lowerLetter"/>
      <w:start w:val="14"/>
    </w:lvl>
  </w:abstractNum>
  <w:abstractNum w:abstractNumId="36">
    <w:nsid w:val="7644A45C"/>
    <w:multiLevelType w:val="hybridMultilevel"/>
    <w:lvl w:ilvl="0">
      <w:lvlJc w:val="left"/>
      <w:lvlText w:val="(%1)"/>
      <w:numFmt w:val="lowerLetter"/>
      <w:start w:val="24"/>
    </w:lvl>
  </w:abstractNum>
  <w:abstractNum w:abstractNumId="37">
    <w:nsid w:val="32FFF902"/>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38">
    <w:nsid w:val="684A481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
    <w:nsid w:val="579478FE"/>
    <w:multiLevelType w:val="hybridMultilevel"/>
    <w:lvl w:ilvl="0">
      <w:lvlJc w:val="left"/>
      <w:lvlText w:val="(%1)"/>
      <w:numFmt w:val="lowerLetter"/>
      <w:start w:val="2"/>
    </w:lvl>
  </w:abstractNum>
  <w:abstractNum w:abstractNumId="40">
    <w:nsid w:val="749ABB43"/>
    <w:multiLevelType w:val="hybridMultilevel"/>
    <w:lvl w:ilvl="0">
      <w:lvlJc w:val="left"/>
      <w:lvlText w:val="%1."/>
      <w:numFmt w:val="decimal"/>
      <w:start w:val="4"/>
    </w:lvl>
  </w:abstractNum>
  <w:abstractNum w:abstractNumId="41">
    <w:nsid w:val="3DC240FB"/>
    <w:multiLevelType w:val="hybridMultilevel"/>
    <w:lvl w:ilvl="0">
      <w:lvlJc w:val="left"/>
      <w:lvlText w:val="(%1)"/>
      <w:numFmt w:val="lowerLetter"/>
      <w:start w:val="1"/>
    </w:lvl>
  </w:abstractNum>
  <w:abstractNum w:abstractNumId="42">
    <w:nsid w:val="1BA026FA"/>
    <w:multiLevelType w:val="hybridMultilevel"/>
    <w:lvl w:ilvl="0">
      <w:lvlJc w:val="left"/>
      <w:lvlText w:val="(%1)"/>
      <w:numFmt w:val="lowerLetter"/>
      <w:start w:val="4"/>
    </w:lvl>
  </w:abstractNum>
  <w:abstractNum w:abstractNumId="43">
    <w:nsid w:val="79A1DEAA"/>
    <w:multiLevelType w:val="hybridMultilevel"/>
    <w:lvl w:ilvl="0">
      <w:lvlJc w:val="left"/>
      <w:lvlText w:val="%1."/>
      <w:numFmt w:val="decimal"/>
      <w:start w:val="5"/>
    </w:lvl>
  </w:abstractNum>
  <w:abstractNum w:abstractNumId="44">
    <w:nsid w:val="75C6C33A"/>
    <w:multiLevelType w:val="hybridMultilevel"/>
    <w:lvl w:ilvl="0">
      <w:lvlJc w:val="left"/>
      <w:lvlText w:val="%1."/>
      <w:numFmt w:val="decimal"/>
      <w:start w:val="6"/>
    </w:lvl>
  </w:abstractNum>
  <w:abstractNum w:abstractNumId="45">
    <w:nsid w:val="12E685FB"/>
    <w:multiLevelType w:val="hybridMultilevel"/>
    <w:lvl w:ilvl="0">
      <w:lvlJc w:val="left"/>
      <w:lvlText w:val="%1"/>
      <w:numFmt w:val="lowerLetter"/>
      <w:start w:val="1"/>
    </w:lvl>
    <w:lvl w:ilvl="1">
      <w:lvlJc w:val="left"/>
      <w:lvlText w:val="(%2)"/>
      <w:numFmt w:val="lowerLetter"/>
      <w:start w:val="2"/>
    </w:lvl>
  </w:abstractNum>
  <w:abstractNum w:abstractNumId="46">
    <w:nsid w:val="70C6A529"/>
    <w:multiLevelType w:val="hybridMultilevel"/>
    <w:lvl w:ilvl="0">
      <w:lvlJc w:val="left"/>
      <w:lvlText w:val="(%1)"/>
      <w:numFmt w:val="lowerLetter"/>
      <w:start w:val="9"/>
    </w:lvl>
    <w:lvl w:ilvl="1">
      <w:lvlJc w:val="left"/>
      <w:lvlText w:val="%2"/>
      <w:numFmt w:val="lowerLetter"/>
      <w:start w:val="1"/>
    </w:lvl>
  </w:abstractNum>
  <w:abstractNum w:abstractNumId="47">
    <w:nsid w:val="520EEDD1"/>
    <w:multiLevelType w:val="hybridMultilevel"/>
    <w:lvl w:ilvl="0">
      <w:lvlJc w:val="left"/>
      <w:lvlText w:val="%1"/>
      <w:numFmt w:val="lowerLetter"/>
      <w:start w:val="1"/>
    </w:lvl>
    <w:lvl w:ilvl="1">
      <w:lvlJc w:val="left"/>
      <w:lvlText w:val="%2."/>
      <w:numFmt w:val="decimal"/>
      <w:start w:val="7"/>
    </w:lvl>
  </w:abstractNum>
  <w:abstractNum w:abstractNumId="48">
    <w:nsid w:val="374A3FE6"/>
    <w:multiLevelType w:val="hybridMultilevel"/>
    <w:lvl w:ilvl="0">
      <w:lvlJc w:val="left"/>
      <w:lvlText w:val="(%1)"/>
      <w:numFmt w:val="lowerLetter"/>
      <w:start w:val="2"/>
    </w:lvl>
    <w:lvl w:ilvl="1">
      <w:lvlJc w:val="left"/>
      <w:lvlText w:val="%2"/>
      <w:numFmt w:val="decimal"/>
      <w:start w:val="1"/>
    </w:lvl>
  </w:abstractNum>
  <w:abstractNum w:abstractNumId="49">
    <w:nsid w:val="4F4EF005"/>
    <w:multiLevelType w:val="hybridMultilevel"/>
    <w:lvl w:ilvl="0">
      <w:lvlJc w:val="left"/>
      <w:lvlText w:val="%1."/>
      <w:numFmt w:val="decimal"/>
      <w:start w:val="8"/>
    </w:lvl>
  </w:abstractNum>
  <w:abstractNum w:abstractNumId="50">
    <w:nsid w:val="23F9C13C"/>
    <w:multiLevelType w:val="hybridMultilevel"/>
    <w:lvl w:ilvl="0">
      <w:lvlJc w:val="left"/>
      <w:lvlText w:val="(%1)"/>
      <w:numFmt w:val="lowerLetter"/>
      <w:start w:val="2"/>
    </w:lvl>
  </w:abstractNum>
  <w:abstractNum w:abstractNumId="51">
    <w:nsid w:val="649BB77C"/>
    <w:multiLevelType w:val="hybridMultilevel"/>
    <w:lvl w:ilvl="0">
      <w:lvlJc w:val="left"/>
      <w:lvlText w:val="%1."/>
      <w:numFmt w:val="decimal"/>
      <w:start w:val="10"/>
    </w:lvl>
  </w:abstractNum>
  <w:abstractNum w:abstractNumId="52">
    <w:nsid w:val="275AC794"/>
    <w:multiLevelType w:val="hybridMultilevel"/>
    <w:lvl w:ilvl="0">
      <w:lvlJc w:val="left"/>
      <w:lvlText w:val="%1."/>
      <w:numFmt w:val="decimal"/>
      <w:start w:val="11"/>
    </w:lvl>
    <w:lvl w:ilvl="1">
      <w:lvlJc w:val="left"/>
      <w:lvlText w:val="(%2)"/>
      <w:numFmt w:val="lowerLetter"/>
      <w:start w:val="2"/>
    </w:lvl>
  </w:abstractNum>
  <w:abstractNum w:abstractNumId="53">
    <w:nsid w:val="39386575"/>
    <w:multiLevelType w:val="hybridMultilevel"/>
    <w:lvl w:ilvl="0">
      <w:lvlJc w:val="left"/>
      <w:lvlText w:val="%1."/>
      <w:numFmt w:val="decimal"/>
      <w:start w:val="14"/>
    </w:lvl>
  </w:abstractNum>
  <w:abstractNum w:abstractNumId="54">
    <w:nsid w:val="1CF10FD8"/>
    <w:multiLevelType w:val="hybridMultilevel"/>
    <w:lvl w:ilvl="0">
      <w:lvlJc w:val="left"/>
      <w:lvlText w:val="%1."/>
      <w:numFmt w:val="decimal"/>
      <w:start w:val="17"/>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hyperlink" Target="http://www.sec.gov/Archives/edgar/data/771497/000114420418063816/tv508525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2019-12-28T15:08:24Z</dcterms:created>
  <dcterms:modified xsi:type="dcterms:W3CDTF">2019-12-28T15:08:24Z</dcterms:modified>
</cp:coreProperties>
</file>